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4943-2022 i Örebro kommun</w:t>
      </w:r>
    </w:p>
    <w:p>
      <w:r>
        <w:t>Detta dokument behandlar höga naturvärden i avverkningsanmälan A 4943-2022 i Örebro kommun. Denna avverkningsanmälan inkom 2022-02-01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4943-2022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6571155, E 532460 i SWEREF 99 TM.</w:t>
      </w:r>
    </w:p>
    <w:p>
      <w:r>
        <w:rPr>
          <w:b/>
        </w:rPr>
        <w:t>Skinntagging (NT)</w:t>
      </w:r>
      <w:r>
        <w:t xml:space="preserve"> är en sällsynt och krävande art som påträffas i skuggig och fuktig, örtrik löv- och blandskog, gärna bokskog, där den växer på murken ved av bok och asp, sällsynt även på andra lövträdslag. Arten är placerad högst upp i Skogsstyrelsens värdepyramid för bedömning av skog med höga naturvärden och allt tyder på att svampen är mycket känslig för all form av avverkning som kan orsaka ökad genomblåsning och ett torrare mikroklimat på växtplatsen. Lokaler och växtplatser bör skyddas eller skötas så att skinntagging kan fortleva. Generellt bör bestånd med stort inslag av grova lövträd och lågor, ej gallras, kalavverkas eller överföras till andra skogstyper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