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30728-2021 i Örebro kommun</w:t>
      </w:r>
    </w:p>
    <w:p>
      <w:r>
        <w:t>Detta dokument behandlar höga naturvärden i avverkningsanmälan A 30728-2021 i Örebro kommun. Denna avverkningsanmälan inkom 2021-06-18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12 naturvårdsarter hittats: vågticka (VU), flattoppad klubbsvamp (NT), kandelabersvamp (NT), kungsspindling (NT), persiljespindling (NT), svartvit taggsvamp (NT), brandticka (S), maskfingersvamp (S), skarp dropptaggsvamp (S), svavelriska (S), tjockfotad fingersvamp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30728-2021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6574475, E 516451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Kungsspindling (NT)</w:t>
      </w:r>
      <w:r>
        <w:t xml:space="preserve"> växer på näringsrikare, helst kalkhaltig mark, nästan alltid i barrskog, där den bildar mykorrhiza med gran och tall, mera sällan insprängd hassel. Förekommer sällsynt även i rik lövskog. Minskningstakten uppgår till 15 % inom 50 år och bedöms vara nära gränsvärdet för Sårbar (VU). (A2c+3c+4c). Kalavverkningar måste helt undvikas på lokaler med kungsspindling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