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52381-2025 i Örebro kommun</w:t>
      </w:r>
    </w:p>
    <w:p>
      <w:r>
        <w:t>Detta dokument behandlar höga naturvärden i avverkningsanmälan A 52381-2025 i Örebro kommun. Denna avverkningsanmälan inkom 2025-10-23 22:51:41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22 naturvårdsarter hittats: ask (EN), grangråticka (VU), koppartaggsvamp (VU), porslinsblå spindling (VU), svartfjällig musseron (VU), violgubbe (VU), blek fingersvamp (NT), dofttaggsvamp (NT), gul taggsvamp (NT), gultoppig fingersvamp (NT), orange taggsvamp (NT), spillkråka (NT, §4), talltita (NT, §4), diskvaxskivling (S), fjällig taggsvamp s.str. (S), rödgul trumpetsvamp (S), skarp dropptaggsvamp (S), skogsknipprot (S, §8), sårläka (S), tjockfotad fingersvamp (S), tjäder (§4) och blåsippa (§9).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9118"/>
            <wp:docPr id="1" name="Picture 1"/>
            <wp:cNvGraphicFramePr>
              <a:graphicFrameLocks noChangeAspect="1"/>
            </wp:cNvGraphicFramePr>
            <a:graphic>
              <a:graphicData uri="http://schemas.openxmlformats.org/drawingml/2006/picture">
                <pic:pic>
                  <pic:nvPicPr>
                    <pic:cNvPr id="0" name="A 52381-2025 karta.png"/>
                    <pic:cNvPicPr/>
                  </pic:nvPicPr>
                  <pic:blipFill>
                    <a:blip r:embed="rId16"/>
                    <a:stretch>
                      <a:fillRect/>
                    </a:stretch>
                  </pic:blipFill>
                  <pic:spPr>
                    <a:xfrm>
                      <a:off x="0" y="0"/>
                      <a:ext cx="5486400" cy="3609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6581040, E 499508 i SWEREF 99 TM.</w:t>
      </w:r>
    </w:p>
    <w:p>
      <w:r>
        <w:rPr>
          <w:b/>
        </w:rPr>
        <w:t xml:space="preserve">Blek fingersvamp (NT) </w:t>
      </w:r>
      <w:r>
        <w:t>bildar mykorrhiza med dels gran i ängsgranskog men även under bok, ek och avenbok i ädellövskog. Arten är känslig för olika skogsbruksåtgärder och därför på tillbakagång såväl i Sverige som i andra europeiska länder. Arten hotas främst av slutavverkning och andra skogsbruksåtgärder. Arten tål inte en slutavverkning och sannolikt inte heller en kraftig gallring. Skogsområden med arten bör undantas från storskaligt skogsbruk. Slutavverkning, kraftig gallring och skogsgödsling måste helt undvikas, liksom körning med tunga maskiner (SLU Artdatabanken, 2024; Nitare &amp; Skogsstyrelsen, 2019).</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Grangråticka (VU)</w:t>
      </w:r>
      <w:r>
        <w:t xml:space="preserve"> bildar mykorrhiza med gran och påträffas på kalkrik mark i örtrika granskogar med t.ex. blåsippa, harsyra och ekorrbär i fältskiktet. Arten är beroende av långvarig kontinuitet av äldre gran och tål ingen slutavverkning (kalhuggning). Lokaler med grangråticka är alltid skyddsvärda och bör skötas med stor varsamhet (SLU Artdatabanken, 2024; Nitare &amp; Skogsstyrelsen, 2019).</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 xml:space="preserve">Koppartaggsvamp (VU) </w:t>
      </w:r>
      <w:r>
        <w:t>bildar mykorrhiza med gran i örtrik äldre granskog på kalkrik mark. Arten är en mycket bra indikator på skyddsvärda kalkgranskogar och påfallande ofta växer den tillsammans med raggtaggsvamp (EN). Arten ingår i ett åtgärdsprogram för hotade arter (ÅGP) och dess långsiktiga överlevnad säkras genom att växtplatserna undantas från avverkning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Porslinsblå spindling (VU)</w:t>
      </w:r>
      <w:r>
        <w:t xml:space="preserve"> är en mycket bra signalart på skyddsvärda kalkgranskogar där det föreligger långvarig grankontinuitet. Andelen äldre näringsrik granskog minskar i södra Sverige och därför fortsätter arten att minska. Det främsta hotet mot porslinsblå spindling är avverkning av de värdträd som den är helt beroende av. Den är placerad högst upp i Skogsstyrelsens värdepyramid för bedömning av skog med höga naturvärden och äldre granskogar där arten växer bör i möjligaste mån undantas från avverkning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Svartfjällig musseron (VU)</w:t>
      </w:r>
      <w:r>
        <w:t xml:space="preserve"> är en sällsynt art som bildar mykorrhiza med gran på kalkrik mark. För att klara arten på sikt bör fler områden med granskog på kalkrik mark skyddas, särskilt i södra Sverige även om de är små. Växtplatser för denna art är alltid skyddsvärda eftersom de vanligen också innehåller många andra rödlistade svampar (SLU Artdatabanken, 2024; Nitare &amp; Skogsstyrelsen, 2019).</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r>
        <w:rPr>
          <w:b/>
        </w:rPr>
        <w:t>Violgubbe (VU)</w:t>
      </w:r>
      <w:r>
        <w:t xml:space="preserve"> bildar mykorrhiza med gran och bok och ev. andra trädslag i ängsgran- och ängsbokskog på kalkrik mark. Arten är placerad högst upp i Skogsstyrelsens värdepyramid för bedömning av skog med höga naturvärden och indikerar alltid skogsområden med höga naturvärden. Det största hotet mot arten är skogsavverkning och den omfattas av ett åtgärdsprogram för hotade arter (ÅGP). Violgubben överlever inte en slutavverkning och verkar dessutom ha svårt att etablera sig i yngre skogsbestånd (SLU Artdatabanken, 2024; Nitare &amp; Skogsstyrelsen, 2019; Aronsson, 2006).</w:t>
      </w:r>
    </w:p>
    <w:p>
      <w:pPr>
        <w:pStyle w:val="Heading1"/>
      </w:pPr>
      <w:r>
        <w:t>Fridlysta arter</w:t>
      </w:r>
    </w:p>
    <w:p>
      <w:r>
        <w:t>Följande fridlysta arter har sina livsmiljöer och växtplatser i den avverkningsanmälda skogen: spillkråka (NT, §4), talltita (NT, §4), skogsknipprot (S, §8), tjäder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