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66985-2021 i Örebro kommun</w:t>
      </w:r>
    </w:p>
    <w:p>
      <w:r>
        <w:t>Detta dokument behandlar höga naturvärden i avverkningsanmälan A 66985-2021 i Örebro kommun. Denna avverkningsanmälan inkom 2021-11-22 00:00:00 och omfattar 12,4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13 naturvårdsarter hittats: ask (EN), ekspik (VU), ekticka (NT), gul dropplav (NT), rödbrun blekspik (NT), brun nållav (S), fällmossa (S), gulpudrad spiklav (S), lönnlav (S), trubbfjädermossa (S), ängsfingersvamp (S), blåsippa (§9) och gullviva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64741"/>
            <wp:docPr id="1" name="Picture 1"/>
            <wp:cNvGraphicFramePr>
              <a:graphicFrameLocks noChangeAspect="1"/>
            </wp:cNvGraphicFramePr>
            <a:graphic>
              <a:graphicData uri="http://schemas.openxmlformats.org/drawingml/2006/picture">
                <pic:pic>
                  <pic:nvPicPr>
                    <pic:cNvPr id="0" name="A 66985-2021 karta.png"/>
                    <pic:cNvPicPr/>
                  </pic:nvPicPr>
                  <pic:blipFill>
                    <a:blip r:embed="rId16"/>
                    <a:stretch>
                      <a:fillRect/>
                    </a:stretch>
                  </pic:blipFill>
                  <pic:spPr>
                    <a:xfrm>
                      <a:off x="0" y="0"/>
                      <a:ext cx="5486400" cy="7864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6546030, E 528693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Gul dropplav (NT) </w:t>
      </w:r>
      <w:r>
        <w:t>växer praktiskt taget enbart på gamla, grova ekar i öppna till halvöppna miljöer som glesa ekhagar och lövängar. Antalet gamla grova ekar har minskat och det är viktigt att hålla öppet kring stammar och kronor på grova ekar (SLU Artdatabanken, 2024).</w:t>
      </w:r>
    </w:p>
    <w:p>
      <w:r>
        <w:rPr>
          <w:b/>
        </w:rPr>
        <w:t>Gulpudrad spiklav</w:t>
      </w:r>
      <w:r>
        <w:t xml:space="preserve"> är en av de viktigaste karaktärsarterna för gamla grova ekar. Den har högt signalvärde och visar på jätteekar som ofta har en rik flora av andra sällsynta lavar. Förekomster på andra substrat än ek visar också på skyddsvärda trädbestånd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pPr>
        <w:pStyle w:val="Heading1"/>
      </w:pPr>
      <w:r>
        <w:t>Fridlysta arter</w:t>
      </w:r>
    </w:p>
    <w:p>
      <w:r>
        <w:t>Följande fridlysta arter har sina livsmiljöer och växtplatser i den avverkningsanmälda skogen: blåsippa (§9)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