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26426-2020 i Örebro kommun</w:t>
      </w:r>
    </w:p>
    <w:p>
      <w:r>
        <w:t>Detta dokument behandlar höga naturvärden i avverkningsanmälan A 26426-2020 i Örebro kommun. Denna avverkningsanmälan inkom 2020-06-04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slöjröksvamp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4929"/>
            <wp:docPr id="1" name="Picture 1"/>
            <wp:cNvGraphicFramePr>
              <a:graphicFrameLocks noChangeAspect="1"/>
            </wp:cNvGraphicFramePr>
            <a:graphic>
              <a:graphicData uri="http://schemas.openxmlformats.org/drawingml/2006/picture">
                <pic:pic>
                  <pic:nvPicPr>
                    <pic:cNvPr id="0" name="A 26426-2020 karta.png"/>
                    <pic:cNvPicPr/>
                  </pic:nvPicPr>
                  <pic:blipFill>
                    <a:blip r:embed="rId16"/>
                    <a:stretch>
                      <a:fillRect/>
                    </a:stretch>
                  </pic:blipFill>
                  <pic:spPr>
                    <a:xfrm>
                      <a:off x="0" y="0"/>
                      <a:ext cx="5486400" cy="4294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6554308, E 528492 i SWEREF 99 TM.</w:t>
      </w:r>
    </w:p>
    <w:p>
      <w:r>
        <w:rPr>
          <w:b/>
        </w:rPr>
        <w:t xml:space="preserve">Slöjröksvamp (VU) </w:t>
      </w:r>
      <w:r>
        <w:t>är en exklusiv svamp som har ett mycket högt signalvärde. Den indikerar lokalklimatiskt varma ädellövskogar och lundar på kalkrika mulljordar, där varje lokal troligen har mycket långvarig kontinuitet av ädellövträd och hassel. Samtliga växtplatser är starkt skyddsvärda och den växer alltid tillsammans med en rad andra ovanliga och rödlistade arter. Slöjröksvamp är placerad högst upp i Skogsstyrelsens värdepyramid för bedömning av skog med höga naturvärden och den omfattas av ett åtgärdsprogram för hotade arter (ÅGP) (SLU Artdatabanken, 2024; Nitare &amp; Skogsstyrelsen, 2019; Jeppson,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