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12974-2022 i Örebro kommun</w:t>
      </w:r>
    </w:p>
    <w:p>
      <w:r>
        <w:t>Detta dokument behandlar höga naturvärden i avverkningsanmälan A 12974-2022 i Örebro kommun. Denna avverkningsanmälan inkom 2022-03-23 09:14:16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duvhök (NT, §4), grönsångare (NT, §4), kungsfågel (§4) och kopparödla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4712"/>
            <wp:docPr id="1" name="Picture 1"/>
            <wp:cNvGraphicFramePr>
              <a:graphicFrameLocks noChangeAspect="1"/>
            </wp:cNvGraphicFramePr>
            <a:graphic>
              <a:graphicData uri="http://schemas.openxmlformats.org/drawingml/2006/picture">
                <pic:pic>
                  <pic:nvPicPr>
                    <pic:cNvPr id="0" name="A 12974-2022 karta.png"/>
                    <pic:cNvPicPr/>
                  </pic:nvPicPr>
                  <pic:blipFill>
                    <a:blip r:embed="rId16"/>
                    <a:stretch>
                      <a:fillRect/>
                    </a:stretch>
                  </pic:blipFill>
                  <pic:spPr>
                    <a:xfrm>
                      <a:off x="0" y="0"/>
                      <a:ext cx="5486400" cy="4154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6578111, E 511290 i SWEREF 99 TM.</w:t>
      </w:r>
    </w:p>
    <w:p>
      <w:pPr>
        <w:pStyle w:val="Heading1"/>
      </w:pPr>
      <w:r>
        <w:t>Fridlysta arter</w:t>
      </w:r>
    </w:p>
    <w:p>
      <w:r>
        <w:t>Följande fridlysta arter har sina livsmiljöer och växtplatser i den avverkningsanmälda skogen: duvhök (NT, §4), grönsångare (NT, §4), kungsfågel (§4) och kopparödla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