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63196-2025 i Örebro kommun</w:t>
      </w:r>
    </w:p>
    <w:p>
      <w:r>
        <w:t>Denna tillsynsbegäran behandlar höga naturvärden i avverkningsanmälan A 63196-2025 i Örebro kommun som inkom 2025-12-19 och omfattar 1,4 ha.</w:t>
      </w:r>
    </w:p>
    <w:p>
      <w:pPr>
        <w:pStyle w:val="Caption"/>
      </w:pPr>
      <w:r>
        <w:drawing>
          <wp:inline xmlns:a="http://schemas.openxmlformats.org/drawingml/2006/main" xmlns:pic="http://schemas.openxmlformats.org/drawingml/2006/picture">
            <wp:extent cx="5486400" cy="3621778"/>
            <wp:docPr id="1" name="Picture 1"/>
            <wp:cNvGraphicFramePr>
              <a:graphicFrameLocks noChangeAspect="1"/>
            </wp:cNvGraphicFramePr>
            <a:graphic>
              <a:graphicData uri="http://schemas.openxmlformats.org/drawingml/2006/picture">
                <pic:pic>
                  <pic:nvPicPr>
                    <pic:cNvPr id="0" name="A 63196-2025 karta.png"/>
                    <pic:cNvPicPr/>
                  </pic:nvPicPr>
                  <pic:blipFill>
                    <a:blip r:embed="rId16"/>
                    <a:stretch>
                      <a:fillRect/>
                    </a:stretch>
                  </pic:blipFill>
                  <pic:spPr>
                    <a:xfrm>
                      <a:off x="0" y="0"/>
                      <a:ext cx="5486400" cy="362177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6581416, E 500193 i SWEREF 99 TM.</w:t>
      </w:r>
    </w:p>
    <w:p>
      <w:r>
        <w:t>I och inom 22 meter från avverkningsanmälan finns fynd av 5 naturvårdsarter, varav 3 är rödlistade, 2 är fridlysta, 4 är typiska (T) och 1 är signalart (S): koralltaggsvamp (NT, T), mindre hackspett (NT, T, §4), vit vedfingersvamp (NT), tibast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Vit vedfingersvamp (NT)</w:t>
      </w:r>
      <w:r>
        <w:t xml:space="preserve"> växer på murken lövved, främst grova och barklösa asplågor. Svampen indikerar sena aspsuccessioner inom områden med konstant hög luftfuktighet. Raviner, bergrötter och liknande platser med skuggiga förhållanden och fuktig mark med ett stort inslag av lövträd är exempel på biotoper där vit vedfingersvamp ofta växer och dessa bör undantas från skogsbruk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