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66985-2021 i Örebro kommun</w:t>
      </w:r>
    </w:p>
    <w:p>
      <w:r>
        <w:t>Detta dokument behandlar höga naturvärden i avverkningsanmälan A 66985-2021 i Örebro kommun. Denna avverkningsanmälan inkom 2021-11-22 00:00:00 och omfattar 12,4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13 naturvårdsarter hittats: ask (EN), ekspik (VU), ekticka (NT), gul dropplav (NT), rödbrun blekspik (NT), brun nållav (S), fällmossa (S), gulpudrad spiklav (S), lönnlav (S), trubbfjädermossa (S), ängsfingersvamp (S), blåsippa (§9) och gullviva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64741"/>
            <wp:docPr id="1" name="Picture 1"/>
            <wp:cNvGraphicFramePr>
              <a:graphicFrameLocks noChangeAspect="1"/>
            </wp:cNvGraphicFramePr>
            <a:graphic>
              <a:graphicData uri="http://schemas.openxmlformats.org/drawingml/2006/picture">
                <pic:pic>
                  <pic:nvPicPr>
                    <pic:cNvPr id="0" name="A 66985-2021 karta.png"/>
                    <pic:cNvPicPr/>
                  </pic:nvPicPr>
                  <pic:blipFill>
                    <a:blip r:embed="rId16"/>
                    <a:stretch>
                      <a:fillRect/>
                    </a:stretch>
                  </pic:blipFill>
                  <pic:spPr>
                    <a:xfrm>
                      <a:off x="0" y="0"/>
                      <a:ext cx="5486400" cy="78647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6546030, E 528693 i SWEREF 99 TM.</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Ekspik (VU)</w:t>
      </w:r>
      <w:r>
        <w:t xml:space="preserve"> växer praktiskt taget enbart på grov bark och ved av mycket gamla ekar i öppna skogar och försvinner om skogarna sluter sig. Lämpliga träd och skogar nyskapas i mycket begränsad omfattning. Arten hotas genom att gamla lövträd avverkas samt att ekhagar och andra liknande miljöer växer igen. Ekspik är typisk art för </w:t>
      </w:r>
      <w:r>
        <w:rPr>
          <w:i/>
        </w:rPr>
        <w:t>9070 Trädklädd betesmark</w:t>
      </w:r>
      <w:r>
        <w:t xml:space="preserve"> och skiljer sig från gulpudrad nållav genom att den har vitpruinösa apothecier i stället för gul pruina (SLU Artdatabanken, 2025).</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pPr>
        <w:pStyle w:val="Heading1"/>
      </w:pPr>
      <w:r>
        <w:t>Fridlysta arter</w:t>
      </w:r>
    </w:p>
    <w:p>
      <w:r>
        <w:t>Följande fridlysta arter har sina livsmiljöer och växtplatser i den avverkningsanmälda skogen: blåsippa (§9) och gullviva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