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55197-2023 i Örebro kommun</w:t>
      </w:r>
    </w:p>
    <w:p>
      <w:r>
        <w:t>Detta dokument behandlar höga naturvärden i avverkningsanmälan A 55197-2023 i Örebro kommun. Denna avverkningsanmälan inkom 2023-11-07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buskskvätta (NT, §4), dånvivel (NT), entita (NT, §4), fläckstumpbagge (NT), gulsparv (NT, §4) och spindelbock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975"/>
            <wp:docPr id="1" name="Picture 1"/>
            <wp:cNvGraphicFramePr>
              <a:graphicFrameLocks noChangeAspect="1"/>
            </wp:cNvGraphicFramePr>
            <a:graphic>
              <a:graphicData uri="http://schemas.openxmlformats.org/drawingml/2006/picture">
                <pic:pic>
                  <pic:nvPicPr>
                    <pic:cNvPr id="0" name="A 55197-2023 karta.png"/>
                    <pic:cNvPicPr/>
                  </pic:nvPicPr>
                  <pic:blipFill>
                    <a:blip r:embed="rId16"/>
                    <a:stretch>
                      <a:fillRect/>
                    </a:stretch>
                  </pic:blipFill>
                  <pic:spPr>
                    <a:xfrm>
                      <a:off x="0" y="0"/>
                      <a:ext cx="5486400" cy="3738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6561745, E 525447 i SWEREF 99 TM.</w:t>
      </w:r>
    </w:p>
    <w:p>
      <w:r>
        <w:rPr>
          <w:b/>
        </w:rPr>
        <w:t>Spindelbock</w:t>
      </w:r>
      <w:r>
        <w:t xml:space="preserve"> är en långhorning vars larvutveckling sker under barken på nyligen döda grenar och stammar av olika lövträd, främst björk och asp, men även klibbal, ek, hassel, sälg och andra trädslag. Det föreligger indikation på eller misstanke om populationsminskning. Minskningen avser kvalitén på artens habitat på grund av fortsatt snabb avverkning av kontinuitetsskog i norra Sverige, samt ett ökat utnyttjande av flisved (GROT) för energiändamål och röjning i hagmarker på grund av ändrade miljöersättningsregler i den södra halvan av landet (SLU Artdatabanken, 2025).</w:t>
      </w:r>
    </w:p>
    <w:p>
      <w:pPr>
        <w:pStyle w:val="Heading1"/>
      </w:pPr>
      <w:r>
        <w:t>Fridlysta arter</w:t>
      </w:r>
    </w:p>
    <w:p>
      <w:r>
        <w:t>Följande fridlysta arter har sina livsmiljöer och växtplatser i den avverkningsanmälda skogen: buskskvätta (NT, §4),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