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37019-2024 i Örebro kommun</w:t>
      </w:r>
    </w:p>
    <w:p>
      <w:r>
        <w:t>Detta dokument behandlar höga naturvärden i avverkningsanmälan A 37019-2024 i Örebro kommun. Denna avverkningsanmälan inkom 2024-09-04 09:05:50 och omfattar 1,9 ha.</w:t>
      </w:r>
    </w:p>
    <w:p>
      <w:r>
        <w:t>Nedan presenteras fynd av naturvårdsarter och fridlysta 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2 naturvårdsarter hittats: tibast (S) och huggorm (§6).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705838"/>
            <wp:docPr id="1" name="Picture 1"/>
            <wp:cNvGraphicFramePr>
              <a:graphicFrameLocks noChangeAspect="1"/>
            </wp:cNvGraphicFramePr>
            <a:graphic>
              <a:graphicData uri="http://schemas.openxmlformats.org/drawingml/2006/picture">
                <pic:pic>
                  <pic:nvPicPr>
                    <pic:cNvPr id="0" name="A 37019-2024 karta.png"/>
                    <pic:cNvPicPr/>
                  </pic:nvPicPr>
                  <pic:blipFill>
                    <a:blip r:embed="rId16"/>
                    <a:stretch>
                      <a:fillRect/>
                    </a:stretch>
                  </pic:blipFill>
                  <pic:spPr>
                    <a:xfrm>
                      <a:off x="0" y="0"/>
                      <a:ext cx="5486400" cy="3705838"/>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6576243, E 495272 i SWEREF 99 TM.</w:t>
      </w:r>
    </w:p>
    <w:p>
      <w:r>
        <w:rPr>
          <w:b/>
        </w:rPr>
        <w:t>Tibast</w:t>
      </w:r>
      <w:r>
        <w:t xml:space="preserve"> är en kalkgynnad buske som växer på mullrik, frisk eller svagt fuktig mark, exempelvis i gamla kalkgranskogar, lövträdslundar, varma källpåverkade sluttningar och exklusiva biotoper kopplade till vattendrag. Förekomster i gammal skog visar på höga naturvärden och bör alltid noteras i samband med naturvärdesinventeringar. Tibast är typisk art för </w:t>
      </w:r>
      <w:r>
        <w:rPr>
          <w:i/>
        </w:rPr>
        <w:t>9050 Näringsrik granskog</w:t>
      </w:r>
      <w:r>
        <w:t xml:space="preserve"> och värdväxt för de två fjärilsarterna större tibastmal och brun tibastmal (CR) (SLU Artdatabanken, 2024; Nitare &amp; Skogsstyrelsen, 2019).</w:t>
      </w:r>
    </w:p>
    <w:p>
      <w:pPr>
        <w:pStyle w:val="Heading1"/>
      </w:pPr>
      <w:r>
        <w:t>Fridlysta arter</w:t>
      </w:r>
    </w:p>
    <w:p>
      <w:r>
        <w:t>Följande fridlysta arter har sina livsmiljöer och växtplatser i den avverkningsanmälda skogen: huggorm (§6).</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2026-05-31</w:t>
      <w:br/>
      <w:br/>
    </w:r>
    <w:r>
      <w:t>Till: Sveaskog</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