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3338-2025 i Örebro kommun</w:t>
      </w:r>
    </w:p>
    <w:p>
      <w:r>
        <w:t>Detta klagomål behandlar höga naturvärden i samrådsanmälan S 3338-2025 i Örebro kommun som inkom 2025-11-28 och omfattar 3,7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S 3338-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6580989, E 499609 i SWEREF 99 TM.</w:t>
      </w:r>
    </w:p>
    <w:p>
      <w:r>
        <w:t>I och inom 25 meter från samrådsanmälan finns fynd av 17 naturvårdsarter, varav 7 är rödlistade, 3 är fridlysta, 8 är typiska (T) och 4 är signalarter (S): ask (EN), bitter taggsvamp (EN), gul taggsvamp (VU, T), kopparspindling (VU), porslinsblå spindling (VU, T), loppstarr (NT), orange taggsvamp (NT, T), gräsull (S), källmossa (S), rödgul trumpetsvamp (S), stubbspretmossa (S, T), bergsslok (T), blåsippa (T, §9), brudborste (T), hultbräken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