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2962-2025 i Örebro kommun</w:t>
      </w:r>
    </w:p>
    <w:p>
      <w:r>
        <w:t>Detta klagomål behandlar höga naturvärden i samrådsanmälan S 2962-2025 i Örebro kommun som inkom 2025-10-23 och omfattar 5,0 ha.</w:t>
      </w:r>
    </w:p>
    <w:p>
      <w:pPr>
        <w:pStyle w:val="Caption"/>
      </w:pPr>
      <w:r>
        <w:drawing>
          <wp:inline xmlns:a="http://schemas.openxmlformats.org/drawingml/2006/main" xmlns:pic="http://schemas.openxmlformats.org/drawingml/2006/picture">
            <wp:extent cx="5128337" cy="5724000"/>
            <wp:docPr id="1" name="Picture 1"/>
            <wp:cNvGraphicFramePr>
              <a:graphicFrameLocks noChangeAspect="1"/>
            </wp:cNvGraphicFramePr>
            <a:graphic>
              <a:graphicData uri="http://schemas.openxmlformats.org/drawingml/2006/picture">
                <pic:pic>
                  <pic:nvPicPr>
                    <pic:cNvPr id="0" name="S 2962-2025 karta.png"/>
                    <pic:cNvPicPr/>
                  </pic:nvPicPr>
                  <pic:blipFill>
                    <a:blip r:embed="rId16"/>
                    <a:stretch>
                      <a:fillRect/>
                    </a:stretch>
                  </pic:blipFill>
                  <pic:spPr>
                    <a:xfrm>
                      <a:off x="0" y="0"/>
                      <a:ext cx="5128337"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6581040, E 499508 i SWEREF 99 TM.</w:t>
      </w:r>
    </w:p>
    <w:p>
      <w:r>
        <w:t>I och inom 25 meter från samrådsanmälan finns fynd av 43 naturvårdsarter, varav 24 är rödlistade, 8 är fridlysta, 20 är typiska (T) och 9 är signalarter (S): ask (EN), brödtaggsvamp (EN), koppartaggsvamp (EN), raggtaggsvamp (EN), spricktaggsvamp (EN), violgubbe (EN), grangråticka (VU, T), gul taggsvamp (VU, T), porslinsblå spindling (VU, T), stor odörspindling (VU), svartfjällig musseron (VU), blek fingersvamp (NT), dofttaggsvamp (NT, T), dunmossa (NT, T), fjällig taggsvamp s.str. (NT), gultoppig fingersvamp (NT), kryddspindling (NT, T), orange taggsvamp (NT, T), skarp dropptaggsvamp (NT), svart taggsvamp (NT), sårläka (NT, T), talltita (NT, §4), tjockfotad fingersvamp (NT), ullticka (NT, T), blåmossa (S, T), diskvaxskivling (S), nordlig tuffmossa (S), olivspindling (S), rödgul trumpetsvamp (S), skogsknipprot (S, T, §8), svart trolldruva (S, T), svavelriska (S), zontaggsvamp (S), blåsippa (T, §9), ekbräken (T), kärrfibbla (T), mattlummer (T, §9), skogsstjärna (T), spillkråka (T, §4), tjäder (T, §4), vitsippa (T),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Brödtaggsvamp (EN) </w:t>
      </w:r>
      <w:r>
        <w:t>är en sällsynt och starkt hotad ”toppart” som växer i äldre barrskogar med gran, gärna i fuktiga sänkor eller skogar med hög luftfuktighet.  Svampen har en säregen doft som liknats vid lakrits, kakor eller pomerans. Den ingår i ett åtgärdsprogram för hotade arter (ÅGP) och är placerad högst upp i Skogsstyrelsens värdepyramid för bedömning av skog med höga naturvärden. Arten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bevakas, följas upp och skyddas formellt. Brödtaggsvamp är globalt rödlistad som nära hotad (NT) vilket innebär att Sverige har ett internationellt ansvar för arten (IUCN, 2025; SLU Artdatabanken, 2026; Nitare &amp; Skogsstyrelsen, 2019).</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 xml:space="preserve">Spricktaggsvamp (EN) </w:t>
      </w:r>
      <w:r>
        <w:t>är en sällsynt och starkt hotad ”toppart” som indikerar starkt skyddsvärda kalkgranskogar. Den ingår i ett åtgärdsprogram för hotade arter (ÅGP) och är placerad högst upp i Skogsstyrelsens värdepyramid för bedömning av skog med höga naturvärden. Arten hotas främst av avverkning och andra skogsbruksåtgärder och tål inte en slutavverkning utan kräver ett kontinuerligt äldre trädskikt med gran. Skogsområden med spricktaggsvamp bör skyddas och undantas från rationellt skogsbruk (SLU Artdatabanken, 2026; Nitare &amp; Skogsstyrelsen, 2019; Nitare, 2006).</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Porslinsblå spindling (VU)</w:t>
      </w:r>
      <w:r>
        <w:t xml:space="preserve"> är en mycket bra signalart på skyddsvärda kalkgranskogar där det föreligger långvarig grankontinuitet. Andelen äldre näringsrik granskog minskar i södra Sverige och därför fortsätter arten att minska. Det främsta hotet mot porslinsblå spindling är avverkning av de värdträd som den är helt beroende av. Den är placerad högst upp i Skogsstyrelsens värdepyramid för bedömning av skog med höga naturvärden och äldre granskogar där arten växer bör i möjligaste mån undantas från avverkning. Porslinsblå spindling är typisk art för </w:t>
      </w:r>
      <w:r>
        <w:rPr>
          <w:i/>
        </w:rPr>
        <w:t>9050 Näringsrik granskog</w:t>
      </w:r>
      <w:r>
        <w:t xml:space="preserve"> (SLU Artdatabanken, 2024; Nitare &amp; Skogsstyrelsen, 2019).</w:t>
      </w:r>
    </w:p>
    <w:p>
      <w:r>
        <w:rPr>
          <w:b/>
        </w:rPr>
        <w:t xml:space="preserve">Stor odörspindling (VU) </w:t>
      </w:r>
      <w:r>
        <w:t>bildar mykorrhiza med tall och gran i kalktallskog och ängsgranskog, främst i äldre kalkbarrskog. En fortlöpande minskning bedöms pågå p.g.a. slutavverkningar av äldre kontinuitetsbarrskog. Har uppenbart svårt att återetableras efter avverkning. Kända växtplatser bör inte utsättas för omfattande huggningar eller andra kraftiga störningar som förändrar miljön (SLU Artdatabanken, 2025).</w:t>
      </w:r>
    </w:p>
    <w:p>
      <w:r>
        <w:rPr>
          <w:b/>
        </w:rPr>
        <w:t>Svartfjällig musseron (VU)</w:t>
      </w:r>
      <w:r>
        <w:t xml:space="preserve"> är en sällsynt art som bildar mykorrhiza med gran på kalkrik mark. För att klara arten på sikt bör fler områden med granskog på kalkrik mark skyddas, särskilt i södra Sverige även om de är små. Växtplatser för denna art är alltid skyddsvärda eftersom de vanligen också innehåller många andra rödlistade svampar (SLU Artdatabanken, 2024; Nitare &amp; Skogsstyrelsen, 2019).</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Mattlummer (§9)</w:t>
      </w:r>
      <w:r>
        <w:t xml:space="preserve"> är typisk art för </w:t>
      </w:r>
      <w:r>
        <w:rPr>
          <w:i/>
        </w:rPr>
        <w:t xml:space="preserve">9010 Taiga </w:t>
      </w:r>
      <w:r>
        <w:t>(SLU Artdatabanken, 2025).</w:t>
      </w:r>
    </w:p>
    <w:p>
      <w:r>
        <w:rPr>
          <w:b/>
        </w:rPr>
        <w:t xml:space="preserve">Skogsstjärna </w:t>
      </w:r>
      <w:r>
        <w:t xml:space="preserve">är typisk art för </w:t>
      </w:r>
      <w:r>
        <w:rPr>
          <w:i/>
        </w:rPr>
        <w:t xml:space="preserve">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Vitsippa</w:t>
      </w:r>
      <w:r>
        <w:t xml:space="preserve"> 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33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43 naturvårdsarter varav 24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