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14614-2026 i Örebro kommun</w:t>
      </w:r>
    </w:p>
    <w:p>
      <w:r>
        <w:t>Denna tillsynsbegäran behandlar höga naturvärden i avverkningsanmälan A 14614-2026 i Örebro kommun som inkom 2026-03-20 och omfattar 6,5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14614-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6584000, E 514114 i SWEREF 99 TM.</w:t>
      </w:r>
    </w:p>
    <w:p>
      <w:r>
        <w:t>I och inom 22 meter från avverkningsanmälan finns fynd av 18 naturvårdsarter, varav 7 är rödlistade, 14 är fridlysta, 3 är typiska (T) och 3 är signalarter (S): björktrast (NT, §4), brunlångöra (NT, §4a), grönsångare (NT, §4), gulsparv (NT, §4), järnsparv (NT, §4), nordfladdermus (NT, §4a), tallticka (NT, T), björksplintborre (S), gullgröppa (S), vågbandad barkbock (S), spillkråka (T, §4), tofsmes (T, §4), dvärgpipistrell (§4a), gråskimlig fladdermus (§4a), gröngöling (§4),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