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50096-2023 i Örebro kommun</w:t>
      </w:r>
    </w:p>
    <w:p>
      <w:r>
        <w:t>Denna tillsynsbegäran behandlar höga naturvärden i avverkningsanmälan A 50096-2023 i Örebro kommun som inkom 2023-10-16 och omfattar 2,3 ha.</w:t>
      </w:r>
    </w:p>
    <w:p>
      <w:pPr>
        <w:pStyle w:val="Caption"/>
      </w:pPr>
      <w:r>
        <w:drawing>
          <wp:inline xmlns:a="http://schemas.openxmlformats.org/drawingml/2006/main" xmlns:pic="http://schemas.openxmlformats.org/drawingml/2006/picture">
            <wp:extent cx="5486400" cy="5250730"/>
            <wp:docPr id="1" name="Picture 1"/>
            <wp:cNvGraphicFramePr>
              <a:graphicFrameLocks noChangeAspect="1"/>
            </wp:cNvGraphicFramePr>
            <a:graphic>
              <a:graphicData uri="http://schemas.openxmlformats.org/drawingml/2006/picture">
                <pic:pic>
                  <pic:nvPicPr>
                    <pic:cNvPr id="0" name="A 50096-2023 karta.png"/>
                    <pic:cNvPicPr/>
                  </pic:nvPicPr>
                  <pic:blipFill>
                    <a:blip r:embed="rId16"/>
                    <a:stretch>
                      <a:fillRect/>
                    </a:stretch>
                  </pic:blipFill>
                  <pic:spPr>
                    <a:xfrm>
                      <a:off x="0" y="0"/>
                      <a:ext cx="5486400" cy="525073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6539637, E 533053 i SWEREF 99 TM.</w:t>
      </w:r>
    </w:p>
    <w:p>
      <w:r>
        <w:t>I och inom 14 meter från avverkningsanmälan finns fynd av 7 naturvårdsarter, varav 3 är rödlistade, 7 är fridlysta och 1 är typisk (T): göktyta (NT, §4), skrattmås (NT, §4), talltita (NT, §4), spillkråka (T, §4), buskskvätta (§4), sävsparv (§4) och sångsvan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