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4943-2022 i Örebro kommun</w:t>
      </w:r>
    </w:p>
    <w:p>
      <w:r>
        <w:t>Detta klagomål behandlar höga naturvärden i avverkningsanmälan A 4943-2022 i Örebro kommun som inkom 2022-02-01 och omfattar 1,1 ha.</w:t>
      </w:r>
    </w:p>
    <w:p>
      <w:pPr>
        <w:pStyle w:val="Caption"/>
      </w:pPr>
      <w:r>
        <w:drawing>
          <wp:inline xmlns:a="http://schemas.openxmlformats.org/drawingml/2006/main" xmlns:pic="http://schemas.openxmlformats.org/drawingml/2006/picture">
            <wp:extent cx="5486400" cy="5401023"/>
            <wp:docPr id="1" name="Picture 1"/>
            <wp:cNvGraphicFramePr>
              <a:graphicFrameLocks noChangeAspect="1"/>
            </wp:cNvGraphicFramePr>
            <a:graphic>
              <a:graphicData uri="http://schemas.openxmlformats.org/drawingml/2006/picture">
                <pic:pic>
                  <pic:nvPicPr>
                    <pic:cNvPr id="0" name="A 4943-2022 karta.png"/>
                    <pic:cNvPicPr/>
                  </pic:nvPicPr>
                  <pic:blipFill>
                    <a:blip r:embed="rId16"/>
                    <a:stretch>
                      <a:fillRect/>
                    </a:stretch>
                  </pic:blipFill>
                  <pic:spPr>
                    <a:xfrm>
                      <a:off x="0" y="0"/>
                      <a:ext cx="5486400" cy="5401023"/>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6571155, E 532460 i SWEREF 99 TM.</w:t>
      </w:r>
    </w:p>
    <w:p>
      <w:r>
        <w:t>I och inom 22 meter från avverkningsanmälan finns fynd av 5 naturvårdsarter, varav 4 är rödlistade, 4 är typiska (T) och 1 är signalart (S): prakttagging (EN, T), gullpudra (NT, T), kandelabersvamp (NT, T), skinntagging (NT) och vätteros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Prakttagging (EN)</w:t>
      </w:r>
      <w:r>
        <w:t xml:space="preserve">, rödlistad som starkt hotad, är en karaktärssvamp för slutna almlundar på mulljordar, där den växer på döda, kullfallna eller ännu stående almar, sällan även på ask och hassel. Den behöver kontinuerlig tillgång till döda träd i slutna bestånd och den växer inte på döda almar i parker och liknande öppna eller halvöppna miljöer. Lokaler där svampen finns måste undantas från skogsbruk. Även röjning, städning och avverkning i närheten av lokalerna utgör ett hot då det leder till att substratbrist uppstår. Arten är placerad högst upp i Skogsstyrelsens värdepyramid för bedömning av skog med höga naturvärden. Prakttagging är typisk art för </w:t>
      </w:r>
      <w:r>
        <w:rPr>
          <w:i/>
        </w:rPr>
        <w:t>9020 Nordlig ädellövskog</w:t>
      </w:r>
      <w:r>
        <w:t xml:space="preserve"> (SLU Artdatabanken, 2024; Nitare &amp; Skogsstyrelsen, 2019).</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Skinntagging (NT)</w:t>
      </w:r>
      <w:r>
        <w:t xml:space="preserve"> är en sällsynt och krävande art som påträffas i skuggig och fuktig, örtrik löv- och blandskog, gärna bokskog, där den växer på murken ved av bok och asp, sällsynt även på andra lövträdslag. Arten är placerad högst upp i Skogsstyrelsens värdepyramid för bedömning av skog med höga naturvärden och allt tyder på att svampen är mycket känslig för all form av avverkning som kan orsaka ökad genomblåsning och ett torrare mikroklimat på växtplatsen. Lokaler och växtplatser bör skyddas eller skötas så att skinntagging kan fortleva. Generellt bör bestånd med stort inslag av grova lövträd och lågor, ej gallras, kalavverkas eller överföras till andra skogstyper (SLU Artdatabanken, 2024; Nitare &amp; Skogsstyrelsen, 2019).</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