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40725-2019 i Örebro kommun</w:t>
      </w:r>
    </w:p>
    <w:p>
      <w:r>
        <w:t>Detta dokument behandlar höga naturvärden i avverkningsanmälan A 40725-2019 i Örebro kommun. Denna avverkningsanmälan inkom 2019-08-14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rynkskinn (VU), Leptoporus erubescens (NT), lunglav (NT), spillkråka (NT, §4), tallticka (NT), tretåig hackspett (NT, §4), ullticka (NT), barkticka (S), grön sköldmossa (S, §8) och skinnlav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40725-2019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6572180, E 506771 i SWEREF 99 TM.</w:t>
      </w:r>
    </w:p>
    <w:p>
      <w:r>
        <w:rPr>
          <w:b/>
          <w:i/>
        </w:rPr>
        <w:t xml:space="preserve">Leptoporus erubescens </w:t>
      </w:r>
      <w:r>
        <w:rPr>
          <w:b/>
        </w:rPr>
        <w:t>(NT)</w:t>
      </w:r>
      <w:r>
        <w:t xml:space="preserve"> är tallens kötticka och har ofta ett mer resupinat växtsätt än den granlevande köttickan </w:t>
      </w:r>
      <w:r>
        <w:rPr>
          <w:i/>
        </w:rPr>
        <w:t>Leptoporus mollis</w:t>
      </w:r>
      <w:r>
        <w:t xml:space="preserve">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tretåig hackspett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8214203"/>
            <wp:docPr id="2" name="Picture 2"/>
            <wp:cNvGraphicFramePr>
              <a:graphicFrameLocks noChangeAspect="1"/>
            </wp:cNvGraphicFramePr>
            <a:graphic>
              <a:graphicData uri="http://schemas.openxmlformats.org/drawingml/2006/picture">
                <pic:pic>
                  <pic:nvPicPr>
                    <pic:cNvPr id="0" name="A 40725-2019 karta knärot.png"/>
                    <pic:cNvPicPr/>
                  </pic:nvPicPr>
                  <pic:blipFill>
                    <a:blip r:embed="rId17"/>
                    <a:stretch>
                      <a:fillRect/>
                    </a:stretch>
                  </pic:blipFill>
                  <pic:spPr>
                    <a:xfrm>
                      <a:off x="0" y="0"/>
                      <a:ext cx="5486400" cy="8214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6572180, E 506771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