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60553-2025 i Örebro kommun</w:t>
      </w:r>
    </w:p>
    <w:p>
      <w:r>
        <w:t>Detta dokument behandlar höga naturvärden i avverkningsanmälan A 60553-2025 i Örebro kommun. Denna avverkningsanmälan inkom 2025-12-04 17:25:44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grönsångare (NT, §4), nordfladdermus (NT, §4a), svartvit flugsnappare (NT, §4), dvärgpipistrell (§4a), grönsiska (§4), kungsfågel (§4), större brunfladdermus (§4a) och vattenfladdermus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60553-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6559618, E 532380 i SWEREF 99 TM.</w:t>
      </w:r>
    </w:p>
    <w:p>
      <w:pPr>
        <w:pStyle w:val="Heading1"/>
      </w:pPr>
      <w:r>
        <w:t>Fridlysta arter</w:t>
      </w:r>
    </w:p>
    <w:p>
      <w:r>
        <w:t>Följande fridlysta arter har sina livsmiljöer och växtplatser i den avverkningsanmälda skogen: grönsångare (NT, §4), nordfladdermus (NT, §4a), svartvit flugsnappare (NT, §4), dvärgpipistrell (§4a), grönsiska (§4), kungsfågel (§4), större brunfladdermus (§4a)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