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1791-2022 i Askersunds kommun</w:t>
      </w:r>
    </w:p>
    <w:p>
      <w:r>
        <w:t>Denna tillsynsbegäran behandlar höga naturvärden i avverkningsanmälan A 1791-2022 i Askersunds kommun som inkom 2022-01-13 och omfattar 8,0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6900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791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6900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6524490, E 501869 i SWEREF 99 TM.</w:t>
      </w:r>
    </w:p>
    <w:p>
      <w:r>
        <w:t>I avverkningsanmälan finns fynd av 7 naturvårdsarter, varav 5 är rödlistade, 1 är fridlyst, 2 är typiska (T) och 1 är signalart (S): gullklöver (NT), slåtterfibbla (NT, T), sommarfibbla (NT), svinrot (NT), vårstarr (NT), springkorn (S, T) och gullviva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Slåtterfibbla (NT)</w:t>
      </w:r>
      <w:r>
        <w:t xml:space="preserve"> är typisk art för </w:t>
      </w:r>
      <w:r>
        <w:rPr>
          <w:i/>
        </w:rPr>
        <w:t xml:space="preserve">9060 Åsbarrskog, 9070 Trädklädd betesmark, 6530 Lövängar, 1610 Åsöar i Östersjön, 6230 Stagg-gräsmarker, 6270 Silikatgräsmarker </w:t>
      </w:r>
      <w:r>
        <w:t>och</w:t>
      </w:r>
      <w:r>
        <w:rPr>
          <w:i/>
        </w:rPr>
        <w:t xml:space="preserve"> 6510 Slåtterängar i låglandet </w:t>
      </w:r>
      <w:r>
        <w:t>(SLU Artdatabanken, 2025).</w:t>
      </w:r>
    </w:p>
    <w:p>
      <w:r>
        <w:rPr>
          <w:b/>
        </w:rPr>
        <w:t xml:space="preserve">Springkorn </w:t>
      </w:r>
      <w:r>
        <w:t>är en kärlväxt som blir upp till en meter hög och kan bilda stora bestånd,</w:t>
      </w:r>
      <w:r>
        <w:rPr>
          <w:b/>
        </w:rPr>
        <w:t xml:space="preserve"> </w:t>
      </w:r>
      <w:r>
        <w:t xml:space="preserve">ofta i skuggiga, fuktiga och mullrika skogsmiljöer. Den är uttorkningskänslig och hotas främst av dräneringsåtgärder och kalavverkning samt eventuellt även av den införda växten blekbalsamin. Arten är på många håll skyddad i naturreservat med lundartad vegetation i raviner men de främsta förekomsterna på moränlera vid sjöstränder har ett sämre skydd. Springkorn är typisk art för </w:t>
      </w:r>
      <w:r>
        <w:rPr>
          <w:i/>
        </w:rPr>
        <w:t xml:space="preserve">9080 Lövsumpskog, 9750 Svämlövskog </w:t>
      </w:r>
      <w:r>
        <w:t>och</w:t>
      </w:r>
      <w:r>
        <w:rPr>
          <w:i/>
        </w:rPr>
        <w:t xml:space="preserve"> 9760 Svämädellövskog</w:t>
      </w:r>
      <w:r>
        <w:t xml:space="preserve"> samt värdväxt för de sällsynta och rödlistade fjärilsarterna gulryggig fältmätare (VU), nätådrig parkmätare (VU), springkornsrotvecklare (VU) och springkornsfältmätare (NT) (SLU Artdatabanken, 2024).</w:t>
      </w:r>
    </w:p>
    <w:p>
      <w:r>
        <w:rPr>
          <w:b/>
        </w:rPr>
        <w:t>Gullviva (§9)</w:t>
      </w:r>
      <w:r>
        <w:t xml:space="preserve"> är värdväxt för bland annat den rödlistade och sällsynta fjärilen gullvivefjäril (VU) samt typisk art för </w:t>
      </w:r>
      <w:r>
        <w:rPr>
          <w:i/>
        </w:rPr>
        <w:t xml:space="preserve">9070 Trädklädd betesmark, 6530 Lövängar, 6510 Slåtterängar i låglandet </w:t>
      </w:r>
      <w:r>
        <w:t>och</w:t>
      </w:r>
      <w:r>
        <w:rPr>
          <w:i/>
        </w:rPr>
        <w:t xml:space="preserve"> 6270 Silikatgräsmarker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