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38299-2022 i Askersunds kommun</w:t>
      </w:r>
    </w:p>
    <w:p>
      <w:r>
        <w:t>Detta klagomål behandlar höga naturvärden i avverkningsanmälan A 38299-2022 i Askersunds kommun som inkom 2022-09-08 och omfattar 6,2 ha.</w:t>
      </w:r>
    </w:p>
    <w:p>
      <w:pPr>
        <w:pStyle w:val="Caption"/>
      </w:pPr>
      <w:r>
        <w:drawing>
          <wp:inline xmlns:a="http://schemas.openxmlformats.org/drawingml/2006/main" xmlns:pic="http://schemas.openxmlformats.org/drawingml/2006/picture">
            <wp:extent cx="4097282" cy="5724000"/>
            <wp:docPr id="1" name="Picture 1"/>
            <wp:cNvGraphicFramePr>
              <a:graphicFrameLocks noChangeAspect="1"/>
            </wp:cNvGraphicFramePr>
            <a:graphic>
              <a:graphicData uri="http://schemas.openxmlformats.org/drawingml/2006/picture">
                <pic:pic>
                  <pic:nvPicPr>
                    <pic:cNvPr id="0" name="A 38299-2022 karta.png"/>
                    <pic:cNvPicPr/>
                  </pic:nvPicPr>
                  <pic:blipFill>
                    <a:blip r:embed="rId16"/>
                    <a:stretch>
                      <a:fillRect/>
                    </a:stretch>
                  </pic:blipFill>
                  <pic:spPr>
                    <a:xfrm>
                      <a:off x="0" y="0"/>
                      <a:ext cx="409728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6516542, E 502796 i SWEREF 99 TM.</w:t>
      </w:r>
    </w:p>
    <w:p>
      <w:r>
        <w:t>I avverkningsanmälan finns fynd av 3 naturvårdsarter, varav 1 är fridlyst, 2 är typiska (T) och 2 är signalarter (S): mörk husmossa (S, T), skogshakmossa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Skogshakmossa</w:t>
      </w:r>
      <w:r>
        <w:t xml:space="preserve"> indikerar lokaler som ofta har en artrik mossflora som kräver jämn och hög markfuktighet, till exempel olika sumpskogar med höga naturvärden. Högst signalvärde har arten i södra och mellersta Sverige. Skogshakmossa är typisk art för </w:t>
      </w:r>
      <w:r>
        <w:rPr>
          <w:i/>
        </w:rPr>
        <w:t xml:space="preserve">9010 Taiga, 9050 Näringsrik granskog, 9080 Lövsumpskog </w:t>
      </w:r>
      <w:r>
        <w:t xml:space="preserve">och </w:t>
      </w:r>
      <w:r>
        <w:rPr>
          <w:i/>
        </w:rPr>
        <w:t xml:space="preserve">9750 Svämlövskog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