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212-2024 i Askersunds kommun</w:t>
      </w:r>
    </w:p>
    <w:p>
      <w:r>
        <w:t>Detta klagomål behandlar höga naturvärden i samrådsanmälan S 212-2024 i Askersunds kommun som inkom 2024-01-25 och omfattar 191,5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S 212-2024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6531989, E 508567 i SWEREF 99 TM.</w:t>
      </w:r>
    </w:p>
    <w:p>
      <w:r>
        <w:t>I och inom 24 meter från samrådsanmälan finns fynd av 20 naturvårdsarter, varav 9 är rödlistade, 6 är fridlysta, 14 är typiska (T) och 8 är signalarter (S): gränsticka (VU, T), liten blekspik (VU, T), liten havstulpanlav (VU), mindre tåtelsmygare (NT), rosenticka (NT, T), skogssvingel (NT, T), slåtterfibbla (NT, T), talltita (NT, §4), ullticka (NT, T), blomkålssvamp (S), brandticka (S), grön sköldmossa (S, T, §8), gulnål (S, T), havstulpanlav (S, T), korallblylav (S, T), plattlummer (S, T, §9), vedticka (S, T), mattlummer (T, §9),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Liten havstulpanlav (VU)</w:t>
      </w:r>
      <w:r>
        <w:t xml:space="preserve"> växer vid basen av hassel i hassellundar eller ädellövskogar med enstaka hasslar på lokaler med hög luftfuktighet. Kalavverkning på eller i omedelbar närhet av lokaler med liten havstulpanlav utgör ett hot. Åtgärder som minskar förekomsten av hassel på lokalerna är också negativt. Arten har en begränsad utbredning utanför Sverige varför Sverige har ett speciellt ansvar för denna art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