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677-2025 i Askersunds kommun</w:t>
      </w:r>
    </w:p>
    <w:p>
      <w:r>
        <w:t>Denna tillsynsbegäran behandlar höga naturvärden i samrådsanmälan S 677-2025 i Askersunds kommun som inkom 2025-02-28 och omfattar 399,4 ha.</w:t>
      </w:r>
    </w:p>
    <w:p>
      <w:pPr>
        <w:pStyle w:val="Caption"/>
      </w:pPr>
      <w:r>
        <w:drawing>
          <wp:inline xmlns:a="http://schemas.openxmlformats.org/drawingml/2006/main" xmlns:pic="http://schemas.openxmlformats.org/drawingml/2006/picture">
            <wp:extent cx="5486400" cy="4717915"/>
            <wp:docPr id="1" name="Picture 1"/>
            <wp:cNvGraphicFramePr>
              <a:graphicFrameLocks noChangeAspect="1"/>
            </wp:cNvGraphicFramePr>
            <a:graphic>
              <a:graphicData uri="http://schemas.openxmlformats.org/drawingml/2006/picture">
                <pic:pic>
                  <pic:nvPicPr>
                    <pic:cNvPr id="0" name="S 677-2025 karta.png"/>
                    <pic:cNvPicPr/>
                  </pic:nvPicPr>
                  <pic:blipFill>
                    <a:blip r:embed="rId16"/>
                    <a:stretch>
                      <a:fillRect/>
                    </a:stretch>
                  </pic:blipFill>
                  <pic:spPr>
                    <a:xfrm>
                      <a:off x="0" y="0"/>
                      <a:ext cx="5486400" cy="4717915"/>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6526143, E 507804 i SWEREF 99 TM.</w:t>
      </w:r>
    </w:p>
    <w:p>
      <w:r>
        <w:t>I och inom 25 meter från samrådsanmälan finns fynd av 56 naturvårdsarter, varav 26 är rödlistade, 32 är fridlysta, 14 är typiska (T) och 8 är signalarter (S): ask (EN), skogsalm (EN), fältgentiana (VU), mindre blåvinge (VU), rökpipsvamp (VU), sexfläckig bastardsvärmare (VU), slåttergubbe (VU), backstarr (NT), blanksvart spiklav (NT), brunlångöra (NT, §4a), duvhök (NT, §4), höstlåsbräken (NT, §8), iller (NT), jungfrulin (NT), järnsparv (NT, §4), kungsörn (NT, §4), mellanlummer (NT, §9), nordfladdermus (NT, §4a), sandviol (NT), slåtterfibbla (NT, T), sommargökbi (NT), svinrot (NT), sädesärla (NT, §4), vitplätt (NT), vårärt (NT, T), åkerväddsantennmal (NT), björksplintborre (S), grönkulla (S, T, §8), grönpyrola (S, T), hasselticka (S, T), myskmadra (S, T), plattlummer (S, T, §9), underviol (S, T), vätteros (S, T), blåsippa (T, §9), järpe (T, §4), mattlummer (T, §9), spillkråka (T, §4), tjäder (T, §4), dvärgpipistrell (§4a), grönsiska (§4), havsörn (§4), kråka (§4), kungsfågel (§4), skogsduva (§4), större brunfladdermus (§4a), svartvit flugsnappare (§4), sångsvan (§4), vattenfladdermus (§4a), vanlig groda (§6), fläcknycklar (§8), grönvit nattviol (§8), myggblomster (§8), nattviol (§8), lopplummer (aggregat)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Rökpipsvamp (VU) </w:t>
      </w:r>
      <w:r>
        <w:t>är en skålsvamp vars fruktkroppar normalt kommer under mars–maj, men under milda vintrar kan de uppträda redan i januari. Den växer på halvt begravda, fuktigt liggande grenar av hassel i områden med hög luftfuktighet och rörligt markvatten, exempelvis intill bäckar, i dalsänkor, strandskogar och vid bergrötter. Arten indikerar starkt skyddsvärda skogar med lång kontinuitet av hassel i fuktiga lägen, där det successivt och kontinuerligt bildas döda och halvt begravda hasselgrenar. Rökpipsvampen försvinner vid avverkning och hotas även av att lokaler röjs eller städas, t.ex. genom bortplockning av nedfallna grenar och borthuggning av buskskiktet, så att brist på lämplig hasselved uppstår. Lokaler där svampen finns måste undantas från skogsbruk. Arten är placerad högst upp i Skogsstyrelsens värdepyramid för bedömning av skog med höga naturvärden och omfattas av ett åtgärdsprogram för hotade arter (ÅGP) (SLU Artdatabanken, 2026; Nitare &amp; Skogsstyrelsen, 2019; Rydberg, 2008).</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Mellanlummer (NT, §8)</w:t>
      </w:r>
      <w:r>
        <w:t xml:space="preserve"> är fridlyst enligt 8 § artskyddsförordningen och omfattas av EU:s art- och habitatdirektiv där dess bevarandestatus är otillfredsställande med negativ trend. Den är brandgynnad och hittas framför allt i ljus och öppen tallskog på torr, sandig och grusig mark. Tallskogen är oftast lavdominerad och växtplatserna är ofta belägna på åsar och sydsluttningar. Arten är rödlistad som nära hotad (NT) på den europeiska rödlistan vilket innebär att Sverige har ett internationellt ansvar för arten (SLU Artdatabanken, 2026; IUCN, 2016).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slåtterfibbla (NT, T), vårärt (NT, T), grönkulla (S, T, §8), grönpyrola (S, T), hasselticka (S, T), myskmadra (S, T), plattlummer (S, T, §9), underviol (S, T), vätteros (S, T), blåsippa (T, §9), järpe (T, §4), mattlummer (T, §9),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