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4775-2024 i Askersunds kommun</w:t>
      </w:r>
    </w:p>
    <w:p>
      <w:r>
        <w:t>Denna tillsynsbegäran behandlar höga naturvärden i samrådsanmälan S 4775-2024 i Askersunds kommun som inkom 2024-11-14 och omfattar 1,0 ha.</w:t>
      </w:r>
    </w:p>
    <w:p>
      <w:pPr>
        <w:pStyle w:val="Caption"/>
      </w:pPr>
      <w:r>
        <w:drawing>
          <wp:inline xmlns:a="http://schemas.openxmlformats.org/drawingml/2006/main" xmlns:pic="http://schemas.openxmlformats.org/drawingml/2006/picture">
            <wp:extent cx="4860482" cy="5724000"/>
            <wp:docPr id="1" name="Picture 1"/>
            <wp:cNvGraphicFramePr>
              <a:graphicFrameLocks noChangeAspect="1"/>
            </wp:cNvGraphicFramePr>
            <a:graphic>
              <a:graphicData uri="http://schemas.openxmlformats.org/drawingml/2006/picture">
                <pic:pic>
                  <pic:nvPicPr>
                    <pic:cNvPr id="0" name="S 4775-2024 karta.png"/>
                    <pic:cNvPicPr/>
                  </pic:nvPicPr>
                  <pic:blipFill>
                    <a:blip r:embed="rId16"/>
                    <a:stretch>
                      <a:fillRect/>
                    </a:stretch>
                  </pic:blipFill>
                  <pic:spPr>
                    <a:xfrm>
                      <a:off x="0" y="0"/>
                      <a:ext cx="4860482" cy="5724000"/>
                    </a:xfrm>
                    <a:prstGeom prst="rect"/>
                  </pic:spPr>
                </pic:pic>
              </a:graphicData>
            </a:graphic>
          </wp:inline>
        </w:drawing>
      </w:r>
    </w:p>
    <w:p>
      <w:pPr>
        <w:pStyle w:val="Caption"/>
        <w:spacing w:after="240"/>
      </w:pPr>
      <w:r>
        <w:t>Figur 1. Fyndplatser för naturvårdsarter i och inom 25 meter från samrådsanmälan. Markörer utan svart kant är placerade på fyndplatsen. Markörer med svart kant är placerade vid sidan av fyndplatsen och har ett svart streck som visar fyndplatsens exakta position. Kartans mittpunktskoordinat är N 6527549, E 505809 i SWEREF 99 TM.</w:t>
      </w:r>
    </w:p>
    <w:p>
      <w:r>
        <w:t>I och inom 25 meter från samrådsanmälan finns fynd av 14 naturvårdsarter, varav 5 är rödlistade, 2 är fridlysta, 10 är typiska (T) och 8 är signalarter (S): ask (EN), skogsalm (EN), rökpipsvamp (VU), sårläka (NT, T), vårärt (NT, T), fällmossa (S, T), hasselticka (S, T), myskmadra (S, T), nästrot (S, §8), svart trolldruva (S, T), trubbfjädermossa (S, T), underviol (S, T), vätteros (S, T) och blåsippa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 xml:space="preserve">Rökpipsvamp (VU) </w:t>
      </w:r>
      <w:r>
        <w:t>är en skålsvamp vars fruktkroppar normalt kommer under mars–maj, men under milda vintrar kan de uppträda redan i januari. Den växer på halvt begravda, fuktigt liggande grenar av hassel i områden med hög luftfuktighet och rörligt markvatten, exempelvis intill bäckar, i dalsänkor, strandskogar och vid bergrötter. Arten indikerar starkt skyddsvärda skogar med lång kontinuitet av hassel i fuktiga lägen, där det successivt och kontinuerligt bildas döda och halvt begravda hasselgrenar. Rökpipsvampen försvinner vid avverkning och hotas även av att lokaler röjs eller städas, t.ex. genom bortplockning av nedfallna grenar och borthuggning av buskskiktet, så att brist på lämplig hasselved uppstår. Lokaler där svampen finns måste undantas från skogsbruk. Arten är placerad högst upp i Skogsstyrelsens värdepyramid för bedömning av skog med höga naturvärden och omfattas av ett åtgärdsprogram för hotade arter (ÅGP) (SLU Artdatabanken, 2026; Nitare &amp; Skogsstyrelsen, 2019; Rydberg, 2008).</w:t>
      </w:r>
    </w:p>
    <w:p>
      <w:r>
        <w:rPr>
          <w:b/>
        </w:rPr>
        <w:t>Sårläka (NT)</w:t>
      </w:r>
      <w:r>
        <w:t xml:space="preserve"> växer på mullrik mark i skuggiga eller halvskuggiga lövskogar och lundar men också i örtrika kalkbarrskogar. Arten ingår i en exklusiv lundflora som bara uppträder i de allra rikaste kalkbarrskogarna söder om den biologiska norrlandsgränsen. I ädellövskogar och lundar är den också knuten till områden med en mycket rik mångfald av naturvårdsarter. Enligt Riksskogstaxeringens data förefaller den ha minskat kraftigt (&gt;50%) vilket troligen kan förklaras av det storskaliga skogsbruket med kalhyggen. Sårläka är typisk art för </w:t>
      </w:r>
      <w:r>
        <w:rPr>
          <w:i/>
        </w:rPr>
        <w:t xml:space="preserve">9050 Näringsrik granskog, 9020 Nordlig ädellövskog, 9130 Näringsrik bokskog </w:t>
      </w:r>
      <w:r>
        <w:t xml:space="preserve">och </w:t>
      </w:r>
      <w:r>
        <w:rPr>
          <w:i/>
        </w:rPr>
        <w:t>9160 Näringsrik ekskog</w:t>
      </w:r>
      <w:r>
        <w:t xml:space="preserve"> samt värdväxt för den rödlistade fjärilen sårläkeplattmal (NT) (SLU Artdatabanken, 2026; Nitare &amp; Skogsstyrelsen, 2019).</w:t>
      </w:r>
    </w:p>
    <w:p>
      <w:r>
        <w:rPr>
          <w:b/>
        </w:rPr>
        <w:t>Vårärt (NT)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storskaliga skogsbruksmetoder och den kommer in på rödlistan för första gången 2025 till följd av en kraftig minskning (&gt;50%) i Riksskogstaxeringens data. Vårärt är typisk art för </w:t>
      </w:r>
      <w:r>
        <w:rPr>
          <w:i/>
        </w:rPr>
        <w:t xml:space="preserve">9050 Näringsrik granskog, 9020 Nordlig ädellövskog, 9160 Näringsrik ekskog </w:t>
      </w:r>
      <w:r>
        <w:t xml:space="preserve">och </w:t>
      </w:r>
      <w:r>
        <w:rPr>
          <w:i/>
        </w:rPr>
        <w:t>9180 Ädellövskog i branter</w:t>
      </w:r>
      <w:r>
        <w:t xml:space="preserve"> (Nitare &amp; Skogsstyrelsen, 2019; SLU Artdatabanken, 2026).</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r>
        <w:rPr>
          <w:b/>
        </w:rPr>
        <w:t>Hasselticka</w:t>
      </w:r>
      <w:r>
        <w:t xml:space="preserve"> är en bra signalart för lundar med höga naturvärden. På lokalerna förekommer ofta många andra ovanliga och rödlistade arter. Växtplatserna har normalt långvarig lövkontinuitet av hassel (ibland al). Den kräver dessutom att det successivt bildas, och i området kontinuerligt förekommit, en viss mängd döda stammar. Arten tycks saknas i sekundära och i sen tid uppkomna al- och hasselmarker om dessa inte ligger i direkt anslutning till äldre förekomster. Hasselticka är typisk art för </w:t>
      </w:r>
      <w:r>
        <w:rPr>
          <w:i/>
        </w:rPr>
        <w:t xml:space="preserve">9020 Nordlig ädellövskog </w:t>
      </w:r>
      <w:r>
        <w:t xml:space="preserve">och </w:t>
      </w:r>
      <w:r>
        <w:rPr>
          <w:i/>
        </w:rPr>
        <w:t xml:space="preserve">9160 Näringsrik ekskog </w:t>
      </w:r>
      <w:r>
        <w:t>(Nitare &amp; Skogsstyrelsen, 2019; SLU Artdatabanken, 2025).</w:t>
      </w:r>
    </w:p>
    <w:p>
      <w:r>
        <w:rPr>
          <w:b/>
        </w:rPr>
        <w:t xml:space="preserve">Myskmadra </w:t>
      </w:r>
      <w:r>
        <w:t xml:space="preserve">är en bra signalart i hela sitt utbredningsområde i såväl lövskogar, lundar som kalkbarrskogar. Särskilt kräsen tycks den vara i norra delen av sitt utbredningsområde. Många naturliga växtplatser är av reliktkaraktär och växten indikerar här långvarig ekologisk kontinuitet. Arten är känslig för såväl hårt bete som dagens storskaliga skogsbruksmetoder. Myskmadra är typisk art för </w:t>
      </w:r>
      <w:r>
        <w:rPr>
          <w:i/>
        </w:rPr>
        <w:t xml:space="preserve">9050 Näringsrik granskog, 9020 Nordlig ädellövskog, 9130 Näringsrik bokskog </w:t>
      </w:r>
      <w:r>
        <w:t xml:space="preserve">och </w:t>
      </w:r>
      <w:r>
        <w:rPr>
          <w:i/>
        </w:rPr>
        <w:t xml:space="preserve">9160 Näringsrik ekskog </w:t>
      </w:r>
      <w:r>
        <w:t>(Nitare &amp; Skogsstyrelsen, 2019; SLU Artdatabanken, 2025).</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r>
        <w:rPr>
          <w:b/>
        </w:rPr>
        <w:t>Trubbfjädermossa</w:t>
      </w:r>
      <w:r>
        <w:t xml:space="preserve"> signalerar vanligtvis skog med höga naturvärden och den växer på något skuggade block eller trädbaser, oftast nära marken, eller på jord intill vattendrag. Den trivs bäst i ädellövskog och förekommer ofta tillsammans med baronmossor </w:t>
      </w:r>
      <w:r>
        <w:rPr>
          <w:i/>
        </w:rPr>
        <w:t>Anomodon</w:t>
      </w:r>
      <w:r>
        <w:t xml:space="preserve"> och fjädermossor</w:t>
      </w:r>
      <w:r>
        <w:rPr>
          <w:i/>
        </w:rPr>
        <w:t xml:space="preserve"> Neckera</w:t>
      </w:r>
      <w:r>
        <w:t xml:space="preserve">. Trubbfjädermossa är typisk art för </w:t>
      </w:r>
      <w:r>
        <w:rPr>
          <w:i/>
        </w:rPr>
        <w:t>9020 Nordlig ädellövskog,</w:t>
      </w:r>
      <w:r>
        <w:t xml:space="preserve"> </w:t>
      </w:r>
      <w:r>
        <w:rPr>
          <w:i/>
        </w:rPr>
        <w:t xml:space="preserve">9080 Lövsumpskog, 9750 Svämlövskog, 9110 Näringsfattig bokskog, 9130 Näringsrik bokskog </w:t>
      </w:r>
      <w:r>
        <w:t xml:space="preserve">och </w:t>
      </w:r>
      <w:r>
        <w:rPr>
          <w:i/>
        </w:rPr>
        <w:t xml:space="preserve">9760 Svämädellövskog </w:t>
      </w:r>
      <w:r>
        <w:t>(Nitare &amp; Skogsstyrelsen, 2019; SLU Artdatabanken, 2025).</w:t>
      </w:r>
    </w:p>
    <w:p>
      <w:r>
        <w:rPr>
          <w:b/>
        </w:rPr>
        <w:t xml:space="preserve">Underviol </w:t>
      </w:r>
      <w:r>
        <w:t xml:space="preserve">är en bra signalart i hela sitt utbredningsområde i såväl lövlundar som kalkbarrskogar. Arten är särskilt intressant när den förekommer i barrskog och indikerar då troligen relikta och hotade kalkbarrskogsekosystem. Underviol tål inte dagens storskaliga skogsbruksmetoder även om den vid enstaka tillfällen lyckas kvarstå i fuktdråg efter avverkning. Underviol är typisk art för </w:t>
      </w:r>
      <w:r>
        <w:rPr>
          <w:i/>
        </w:rPr>
        <w:t xml:space="preserve">9050 Näringsrik granskog, 9020 Nordlig ädellövskog </w:t>
      </w:r>
      <w:r>
        <w:t xml:space="preserve">och </w:t>
      </w:r>
      <w:r>
        <w:rPr>
          <w:i/>
        </w:rPr>
        <w:t>9160 Näringsrik ekskog</w:t>
      </w:r>
      <w:r>
        <w:t xml:space="preserve"> (Nitare &amp; Skogsstyrelsen, 2019; SLU Artdatabanken, 2024).</w:t>
      </w:r>
    </w:p>
    <w:p>
      <w:r>
        <w:rPr>
          <w:b/>
        </w:rPr>
        <w:t xml:space="preserve">Vätteros </w:t>
      </w:r>
      <w:r>
        <w:t xml:space="preserve">är typisk art för </w:t>
      </w:r>
      <w:r>
        <w:rPr>
          <w:i/>
        </w:rPr>
        <w:t xml:space="preserve">9020 Nordlig ädellövskog </w:t>
      </w:r>
      <w:r>
        <w:t>och</w:t>
      </w:r>
      <w:r>
        <w:rPr>
          <w:i/>
        </w:rPr>
        <w:t xml:space="preserve"> 9160 Näringsrik ekskog </w:t>
      </w:r>
      <w:r>
        <w:t>(SLU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samrådsanmälda skogen: sårläka (NT, T), vårärt (NT, T), fällmossa (S, T), hasselticka (S, T), myskmadra (S, T), svart trolldruva (S, T), trubbfjädermossa (S, T), underviol (S, T), vätteros (S, T) och blåsippa (T, §9).</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