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samrådsanmälan S 432-2026 i Askersunds kommun</w:t>
      </w:r>
    </w:p>
    <w:p>
      <w:r>
        <w:t>Denna tillsynsbegäran behandlar höga naturvärden i samrådsanmälan S 432-2026 i Askersunds kommun som inkom 2026-02-17 och omfattar 173,7 ha.</w:t>
      </w:r>
    </w:p>
    <w:p>
      <w:pPr>
        <w:pStyle w:val="Caption"/>
      </w:pPr>
      <w:r>
        <w:drawing>
          <wp:inline xmlns:a="http://schemas.openxmlformats.org/drawingml/2006/main" xmlns:pic="http://schemas.openxmlformats.org/drawingml/2006/picture">
            <wp:extent cx="4524124" cy="5724000"/>
            <wp:docPr id="1" name="Picture 1"/>
            <wp:cNvGraphicFramePr>
              <a:graphicFrameLocks noChangeAspect="1"/>
            </wp:cNvGraphicFramePr>
            <a:graphic>
              <a:graphicData uri="http://schemas.openxmlformats.org/drawingml/2006/picture">
                <pic:pic>
                  <pic:nvPicPr>
                    <pic:cNvPr id="0" name="S 432-2026 karta.png"/>
                    <pic:cNvPicPr/>
                  </pic:nvPicPr>
                  <pic:blipFill>
                    <a:blip r:embed="rId16"/>
                    <a:stretch>
                      <a:fillRect/>
                    </a:stretch>
                  </pic:blipFill>
                  <pic:spPr>
                    <a:xfrm>
                      <a:off x="0" y="0"/>
                      <a:ext cx="4524124" cy="5724000"/>
                    </a:xfrm>
                    <a:prstGeom prst="rect"/>
                  </pic:spPr>
                </pic:pic>
              </a:graphicData>
            </a:graphic>
          </wp:inline>
        </w:drawing>
      </w:r>
    </w:p>
    <w:p>
      <w:pPr>
        <w:pStyle w:val="Caption"/>
        <w:spacing w:after="240"/>
      </w:pPr>
      <w:r>
        <w:t>Figur 1. Fyndplatser för naturvårdsarter i och inom 21 meter från samrådsanmälan. Markörer utan svart kant är placerade på fyndplatsen. Markörer med svart kant är placerade vid sidan av fyndplatsen och har ett svart streck som visar fyndplatsens exakta position. Kartans mittpunktskoordinat är N 6529159, E 505938 i SWEREF 99 TM.</w:t>
      </w:r>
    </w:p>
    <w:p>
      <w:r>
        <w:t>I och inom 21 meter från samrådsanmälan finns fynd av 30 naturvårdsarter, varav 13 är rödlistade, 18 är fridlysta, 6 är typiska (T) och 4 är signalarter (S): skogsalm (EN), fältgentiana (VU), sexfläckig bastardsvärmare (VU), slåttergubbe (VU), backstarr (NT), duvhök (NT, §4), höstlåsbräken (NT, §8), jungfrulin (NT), kungsörn (NT, §4), sandviol (NT), slåtterfibbla (NT, T), sommargökbi (NT), svinrot (NT), björksplintborre (S), grönkulla (S, T, §8), plattlummer (S, T, §9), vätteros (S, T), blåsippa (T, §9), spillkråka (T, §4), grönsiska (§4), havsörn (§4), kråka (§4), kungsfågel (§4), skogsduva (§4), sångsvan (§4), vanlig groda (§6), fläcknycklar (§8), grönvit nattviol (§8), myggblomster (§8) och nattviol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Duvhök (NT, §4)</w:t>
      </w:r>
      <w:r>
        <w:t>, som är rödlistad som nära hotad, har minskat med 15 (0–30) % under de senaste 18 åren och minskningstakten för den svenska populationen bedöms vara nära gränsvärdet för sårbar (VU). Arten är starkt bunden till skogsmark och jagar helst inne i äldre skog. Den missgynnas av stora hyggen och täta planteringar. De gamla fåglarna är i huvudsak stationära i sina revir och boet läggs inne i tät, oftast äldre skog. Kantzoner mot öppen mark undviks och duvhöken, som är beroende av insynsskyddade boplatser, är därför känsligare för slutavverkning än flera andra rovfåglar. Friställande av boträd eller avverkning så att boplatsen blir exponerad mot öppen mark, medför att platsen överges. Eftersom duvhöken helst häckar i gammal skog, är dess häckningsplatser i princip alltid mer eller mindre hotade av skogsbruk och avverkningar (SLU Artdatabanken, 2026; Skogsstyrelsen 2016).</w:t>
      </w:r>
    </w:p>
    <w:p>
      <w:r>
        <w:rPr>
          <w:b/>
        </w:rPr>
        <w:t>Kungsörn (NT, §4)</w:t>
      </w:r>
      <w:r>
        <w:t xml:space="preserve"> är rödlistad som nära hotad och upptagen i bilaga 1 EU:s fågeldirektiv. Boträd får inte avverkas och skyddande skog bör vid avverkning alltid sparas runt örnbon, även runt s.k. alternativbon. Som utgångspunkt vid bedömning av hur mycket skog som skall lämnas runt boträdet bör 200 meters radie gälla. Under häckningsperioden (1 januari till 31 augusti) är kungsörnen störningskänslig och inga skogsbruksåtgärder eller andra störande verksamheter får förekomma närmare än 500 m från boet under den tiden. Arealen på det sparade skogspartiet kan uppgå till åtskilliga tiotals hektar beroende på t.ex. topografi, vindexponering och insyn. Det är även värdefullt om sammanhängande skog kan lämnas i någon riktning. Avverkning av gammelskog i bergsbranter och annan svår terräng måste undvikas (SLU Artdatabanken, 2024; Skogsstyrelsen, 2016).</w:t>
      </w:r>
    </w:p>
    <w:p>
      <w:r>
        <w:rPr>
          <w:b/>
        </w:rPr>
        <w:t>Slåtterfibbla (NT)</w:t>
      </w:r>
      <w:r>
        <w:t xml:space="preserve"> är typisk art för </w:t>
      </w:r>
      <w:r>
        <w:rPr>
          <w:i/>
        </w:rPr>
        <w:t xml:space="preserve">9060 Åsbarrskog, 9070 Trädklädd betesmark, 6530 Lövängar, 1610 Åsöar i Östersjön, 6230 Stagg-gräsmarker, 6270 Silikatgräsmarker </w:t>
      </w:r>
      <w:r>
        <w:t>och</w:t>
      </w:r>
      <w:r>
        <w:rPr>
          <w:i/>
        </w:rPr>
        <w:t xml:space="preserve"> 6510 Slåtterängar i låglandet </w:t>
      </w:r>
      <w:r>
        <w:t>(SLU Artdatabanken, 2025).</w:t>
      </w:r>
    </w:p>
    <w:p>
      <w:r>
        <w:rPr>
          <w:b/>
        </w:rPr>
        <w:t xml:space="preserve">Björksplintborre </w:t>
      </w:r>
      <w:r>
        <w:t>är en skalbagge vars larvutveckling sker i bark på nyligen döda björkar, både stående träd och vindfällen. En prydlig rad med runda ventilationshål i barken ovanför modergången är synnerligen karaktäristiskt. Arten är knuten till lövrika blandskogar med en hög andel gamla träd, och starkt gynnad av naturliga störningar som torka, översvämningar, brand och stormfällningar. Talrika gnagspår kan tyda på biotoper med höga naturvärden, exempelvis för ovanliga hackspettar och andra, mer sällsynta vedinsekter. Larverna är omtyckt hackspettsföda (SLU Artdatabanken, 2025).</w:t>
      </w:r>
    </w:p>
    <w:p>
      <w:r>
        <w:rPr>
          <w:b/>
        </w:rPr>
        <w:t xml:space="preserve">Grönkulla (§8) </w:t>
      </w:r>
      <w:r>
        <w:t xml:space="preserve">är typisk art för </w:t>
      </w:r>
      <w:r>
        <w:rPr>
          <w:i/>
        </w:rPr>
        <w:t xml:space="preserve">9040 Fjällbjörkskog, 9070 Trädklädd betesmark, 6170 Alpina kalkgräsmarker, 6520 Höglänta slåtterängar </w:t>
      </w:r>
      <w:r>
        <w:t>och</w:t>
      </w:r>
      <w:r>
        <w:rPr>
          <w:i/>
        </w:rPr>
        <w:t xml:space="preserve"> 6210 Kalkgräsmarker </w:t>
      </w:r>
      <w:r>
        <w:t>(SLU Artdatabanken, 2025).</w:t>
      </w:r>
    </w:p>
    <w:p>
      <w:r>
        <w:rPr>
          <w:b/>
        </w:rPr>
        <w:t>Plattlummer (§9)</w:t>
      </w:r>
      <w:r>
        <w:t xml:space="preserve"> växer främst i ljusöppna sandtallskogar eller annan gles, torr och brandpräglad hedbarrskog. Den är mest frekvent i olika typer av naturskogar och kontinuitetsskogar och missgynnas markant av slutavverkning och maskinell markberedning. Söder ut i landet förekommer de närstående arterna cypresslummer (EN, §8) och mellanlummer (NT, §9), vilka båda omfattas av EU:s art- och habitatdirektiv. Plattlummer är typisk art för </w:t>
      </w:r>
      <w:r>
        <w:rPr>
          <w:i/>
        </w:rPr>
        <w:t xml:space="preserve">9010 Taiga </w:t>
      </w:r>
      <w:r>
        <w:t>och</w:t>
      </w:r>
      <w:r>
        <w:rPr>
          <w:i/>
        </w:rPr>
        <w:t xml:space="preserve"> 2320 Rissandhedar </w:t>
      </w:r>
      <w:r>
        <w:t>(Nitare &amp; Skogsstyrelsen, 2019; SLU Artdatabanken, 2026).</w:t>
      </w:r>
    </w:p>
    <w:p>
      <w:r>
        <w:rPr>
          <w:b/>
        </w:rPr>
        <w:t xml:space="preserve">Vätteros </w:t>
      </w:r>
      <w:r>
        <w:t xml:space="preserve">är typisk art för </w:t>
      </w:r>
      <w:r>
        <w:rPr>
          <w:i/>
        </w:rPr>
        <w:t xml:space="preserve">9020 Nordlig ädellövskog </w:t>
      </w:r>
      <w:r>
        <w:t>och</w:t>
      </w:r>
      <w:r>
        <w:rPr>
          <w:i/>
        </w:rPr>
        <w:t xml:space="preserve"> 9160 Näringsrik ekskog </w:t>
      </w:r>
      <w:r>
        <w:t>(SLU Artdatabanken, 2025).</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Havsörn (§4)</w:t>
      </w:r>
      <w:r>
        <w:t xml:space="preserve"> omfattas av bilaga 1 EU:s fågeldirektiv. Skyddandet av befintliga bon måste upprätthållas och i samband med skogsavverkning bör en skyddszon på minst 100 meters radie runt boplatsen lämnas intakt. Under häckningsperioden (1 januari till 15 augusti) är havsörnen störningskänslig och inga skogsbruksåtgärder eller annan störande verksamhet får förekomma närmare än 500 m från boet under den tiden. För att åstadkomma en succession av lämpliga boträd för kommande generationer av havsörnar behöver ett betydligt större antal s.k. evighetsträd sparas vid avverkningar redan idag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samrådsanmälda skogen: slåtterfibbla (NT, T), grönkulla (S, T, §8), plattlummer (S, T, §9), vätteros (S, T), blåsippa (T, §9) och spillkråka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Duvhök – ekologi samt krav på livsmiljön</w:t>
      </w:r>
    </w:p>
    <w:p>
      <w:r>
        <w:t>Duvhök (NT, §4) är rödlistad som nära hotad och fridlyst enligt 4§ artskyddsförordningen. Arten har minskat med 15 (0–30) % under de senaste 18 åren och minskningstakten för den svenska populationen bedöms vara nära gränsvärdet för sårbar (VU). Bedömningen baseras på direkt observation, ett för arten lämpligt abundansindex och minskad geografisk utbredning och/eller försämrad habitatkvalitet (allt yngre och tätare skogar vilket försvårar för boplacering samt missgynnar jaktmöjligheterna) (SLU Artdatabanken, 2026).</w:t>
      </w:r>
    </w:p>
    <w:p>
      <w:r>
        <w:t>Duvhöken är starkt bunden till skogsmark, såväl för häckning som födosök. Den påträffas oftast i större skogsområden med äldre skog, men kan ibland även häcka i dungar i områden dominerade av öppen mark. De gamla fåglarna är i huvudsak stationära i sina revir. Duvhöken jagar helst inne i äldre skog och missgynnas av stora hyggen och täta planteringar (Skogsstyrelsen, 2016).</w:t>
      </w:r>
    </w:p>
    <w:p>
      <w:r>
        <w:t>Boet läggs inne i tät, oftast äldre skog. Kantzoner mot öppen mark undviks och duvhöken är därför känsligare för slutavverkning än flera andra rovfåglar. Boträdet måste vara grovgrenigt och är oftast en äldre gran eller tall, i sydligaste Sverige är bok vanligt. Duvhöken är beroende av insynsskyddade boplatser. Friställande av boträd eller avverkning så att boplatsen är exponerad mot öppen mark, medför att platsen överges. Samma bo kan användas flera år i rad, men likt andra rovfåglar har den normalt ett eller flera alternativa bon (Skogsstyrelsen, 2016). Eftersom duvhöken helst häckar i gammal skog, är dess häckningsplatser i princip alltid mer eller mindre hotade av skogsbruk och avverkningar (SLU Artdatabanken, 2026).</w:t>
      </w:r>
    </w:p>
    <w:p>
      <w:r>
        <w:t>Den viktigaste begränsande faktorn för duvhökspopulationen i stort är födan och ett allvarligare problem är därför den av skogsbruket orsakade storskaliga omvandlingen och utarmningen av skogslandskapet, som kan påverka såväl duvhökens möjlighet att jaga som förekomsten av viktiga byten. Duvhökens jaktteknik gör den beroende av landskapets utformning och sammansättning och dess preferens för gammal skog tyder på att den är anpassad till att jaga i skog som är “lagom” tät. I öppnare biotoper, till exempel hyggen, kommer dess jaktteknik inte till sin rätt och i tätare biotoper, t.ex. ungskogar, har den relativt stora duvhöken svårt att manövrera (SLU Artdatabanken, 2026).</w:t>
      </w:r>
    </w:p>
    <w:p>
      <w:pPr>
        <w:pStyle w:val="Heading2"/>
      </w:pPr>
      <w:r>
        <w:t>Referenser – duvhök</w:t>
      </w:r>
    </w:p>
    <w:p>
      <w:r>
        <w:t xml:space="preserve">Skogsstyrelsen, 2016. </w:t>
      </w:r>
      <w:r>
        <w:rPr>
          <w:i/>
        </w:rPr>
        <w:t xml:space="preserve">Duvhök – Vägledning för hänsyn till fåglar. </w:t>
      </w:r>
      <w:r>
        <w:t>https://www.skogsstyrelsen.se/globalassets/lag-och-tillsyn/artskydd/vagledningar-for-hansyn-till-faglar/duvhok-vagledning-hansyn2.pdf</w:t>
      </w:r>
    </w:p>
    <w:p>
      <w:r>
        <w:t xml:space="preserve">SLU Artdatabanken, 2026. </w:t>
      </w:r>
      <w:r>
        <w:rPr>
          <w:i/>
        </w:rPr>
        <w:t xml:space="preserve">Artfaktablad. Naturvård – artfakta. </w:t>
      </w:r>
      <w:r>
        <w:t>SLU Artdatabanken, Uppsala</w:t>
      </w:r>
    </w:p>
    <w:p>
      <w:pPr>
        <w:pStyle w:val="Heading1"/>
      </w:pPr>
      <w:r>
        <w:t>Kungsörn – ekologi samt krav på livsmiljön</w:t>
      </w:r>
    </w:p>
    <w:p>
      <w:r>
        <w:t>Kungsörn är rödlistad som nära hotad (NT) och fridlyst enligt 4§ Artskyddsförordningen samt upptagen i bilaga 1 EU:s fågeldirektiv. Kungsörnen häckar i skogs- och fjällområden där den bygger stora risbon i grova träd eller på klipphyllor. Risboet är ca 1,5 m i diameter och i extremfall upp till 5 m högt, vanligtvis beläget i en kraftig tall eller i ett klippstup, ofta med utsikt över terrängen. Varje par har ofta flera alternativa boplatser inom sitt revir och dessa kan ligga åtskilliga kilometer från varandra (upp till 6,5 km konstaterat i Norge). Bon i träd placeras oftast på 2/3 höjd, mera sällan i eller nära toppen (SLU Artdatabanken, 2024).</w:t>
      </w:r>
    </w:p>
    <w:p>
      <w:r>
        <w:t>I marker med medelgod bytestillgång är avståndet mellan etablerade par under naturliga förhållanden i genomsnitt cirka 10 km. I områden med gott om byten, som t.ex. i Skåne och Gotland men lokalt även i Norrland, kan avstånden vara betydligt kortare. Till exempel på Gotland har samtidiga häckningar skett i bon belägna endast lite drygt tre kilometer från varandra. I fattiga norrlandsskogar är medelavståndet mellan paren drygt 15 km. (SLU Artdatabanken, 2024).</w:t>
      </w:r>
    </w:p>
    <w:p>
      <w:r>
        <w:t>Boträd får inte avverkas och skyddande skog bör vid avverkning alltid sparas runt örnbon, även runt s.k. alternativbon. Som utgångspunkt vid bedömning av hur mycket skog som skall lämnas runt boträdet bör 200 meters radie gälla. Under häckningsperioden (1 januari till 31 augusti) är kungsörnen störningskänslig och inga skogsbruksåtgärder eller annan störande berksamhet får förekomma närmare än 500 m från boet under den tiden. Arealen på det sparade skogspartiet kan uppgå till åtskilliga tiotals hektar beroende på t.ex. topografi, vindexponering och insyn. Det är även värdefullt om sammanhängande skog kan lämnas i någon riktning. Avverkning av gammelskog i bergsbranter och annan svår terräng måste undvikas (SLU Artdatabanken, 2024; Skogsstyrelsen, 2016).</w:t>
      </w:r>
    </w:p>
    <w:p>
      <w:r>
        <w:t>Kungsörnen har på lång sikt en något osäker framtid på grund av den genomhuggning och kalavverkning av äldre, urskogsartade bestånd som fortfarande sker långt upp mot fjällområdena. Därvid kan brist på lämpliga boträd uppstå, likaså försämrad bytestillgång. Boträden, tallar i minst 95 % av fallen, bör vara kraftiga och i Norrland helst minst 200 år gamla. Medelåldern på 97 friska träd var 311 år vid en studie i Norrland 1975–1980. På Gotland har medelåldern på boträden konstaterats vara 145 år. Den gammelskog som i dagens läge finns kvar i Norrland hittas framför allt i svåravverkade, branta sluttningar i anslutning till berg, på blockrika berg, i eller i anslutning till raviner och sprickdalar eller på myrholmar. Eftersom ungefär halva den svenska kungsörnsstammen är beroende av lämpliga boträd skulle en mer omfattande avverkning i ovan nämnda terrängtyper troligen vara starkt negativ för artens fortbestånd. (SLU Artdatabanken, 2024).</w:t>
      </w:r>
    </w:p>
    <w:p>
      <w:pPr>
        <w:pStyle w:val="Heading2"/>
      </w:pPr>
      <w:r>
        <w:t>Referenser – kungsörn</w:t>
      </w:r>
    </w:p>
    <w:p>
      <w:r>
        <w:t xml:space="preserve">Skogsstyrelsen, 2016. </w:t>
      </w:r>
      <w:r>
        <w:rPr>
          <w:i/>
        </w:rPr>
        <w:t xml:space="preserve">Vägledning för hänsyn till kungsörn. </w:t>
      </w:r>
      <w:r>
        <w:t>Vägledningar och kunskapsstöd artskydd – Skogsstyrelsen</w:t>
      </w:r>
    </w:p>
    <w:p>
      <w:r>
        <w:t xml:space="preserve">SLU Artdatabanken, 2024.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pPr>
        <w:pStyle w:val="Heading1"/>
      </w:pPr>
      <w:r>
        <w:t>Havsörn – ekologi samt krav på livsmiljön</w:t>
      </w:r>
    </w:p>
    <w:p>
      <w:r>
        <w:t>Havsörn är fridlyst enligt 4§ artskyddsförordningen och upptagen i bilaga 1 EU:s fågeldirektiv. Havsörnen häckar i anslutning till skärgårdar, kuster, sjöar och vattendrag, ofta på öar men ibland även ganska långt från vatten. I svenska kustområden varierar medelavståndet mellan etablerade par från ca 13 km till under 5 km, mest beroende på bytestillgänglighet; minsta avstånd mellan samtidigt bebodda bon i vårt land är ca 1,5 km. Ofta har ett havsörnspar flera olika bon som kan användas omväxlande (SLU Artdatabanken, 2026; Skogsstyrelsen, 2016).</w:t>
      </w:r>
    </w:p>
    <w:p>
      <w:r>
        <w:t>Boet byggs nästan uteslutande i träd, oftast tallar. Häckar sällsynt även på klipphyllor eller direkt på marken. Boet placeras oftast i trädets övre del och kan bli mycket stort, vilket ställer stora krav på boträdet. Trädet måste ha en stark, bärande krona med lämpliga grova grenar, vilket utvecklas först när trädet har uppnått en hög ålder. Genomsnittsåldern hos botallar vid svenska Ostkusten under 1970- och 80-talet var 160 år (från 100 till 350 år) men har sannolikt redan nu sjunkit betydligt genom en brist på gamla träd. Frekvensen nybyggda bon i för svaga träd där boet rasat under häckningen har ökat markant under senare år i Syd- och Mellansverige. I Lappland var boträden i snitt 350 år (200 – ca 600 år). Mot bakgrund av de lägsta uppmätta åldrarna hos dessa fungerande boträd utgör den sjunkande omloppstiden vid slutavverkningar i Sverige ett hot – det kommer inte att räcka med att spara överståndare vid slutavverkningar av kanske högst 70-åriga bestånd i framtiden (SLU Artdatabanken, 2026; Skogsstyrelsen, 2016).</w:t>
      </w:r>
    </w:p>
    <w:p>
      <w:r>
        <w:t>Skyddandet av befintliga bon måste upprätthållas och i samband med skogsavverkning ska befintliga boträd sparas med en lämpligt avgränsad skyddszon runtom. Vid slutavverkning bör en skyddszon på 100 meters radie runt boplatsen lämnas intakt. Under häckningsperioden (1 januari till 15 augusti) är havsörnen störningskänslig och inga skogsbruksåtgärder eller annan störande verksamhet får förekomma närmare än 500 m från boet under den tiden. (SLU Artdatabanken, 2026; Skogsstyrelsen, 2016).</w:t>
      </w:r>
    </w:p>
    <w:p>
      <w:r>
        <w:t>För att garantera möjligheter till häckning även i framtiden bör ett nätverk av häckningsområden skyddas inom artens hela naturliga utbredningsområde i landet. Havsörnen är upptagen bland de arter som enligt fågeldirektivet/habitatdirektivet har ett sådant gemenskapsintresse inom EU att särskilda skydds- eller bevarandeområden behöver utses (Miljöbalken, Bilagan till Artskyddsförordningen 1998:179, reviderad 2001). Arten är beroende av grova träd för placering av sina stora risbon och detta kan bli en begränsande faktor kommande 30 år (tre generationer). För att åstadkomma en succession av lämpliga boträd för kommande generationer av havsörnar behöver ett betydligt större antal s.k. evighetsträd sparas vid avverkningar redan idag. (SLU Artdatabanken, 2026).</w:t>
      </w:r>
    </w:p>
    <w:p>
      <w:pPr>
        <w:pStyle w:val="Heading2"/>
      </w:pPr>
      <w:r>
        <w:t>Referenser – havsörn</w:t>
      </w:r>
    </w:p>
    <w:p>
      <w:r>
        <w:t xml:space="preserve">Skogsstyrelsen, 2016. </w:t>
      </w:r>
      <w:r>
        <w:rPr>
          <w:i/>
        </w:rPr>
        <w:t xml:space="preserve">Vägledning för hänsyn till havsörn. </w:t>
      </w:r>
      <w:r>
        <w:t>Vägledningar och kunskapsstöd artskydd – Skogsstyrelsen</w:t>
      </w:r>
    </w:p>
    <w:p>
      <w:r>
        <w:t xml:space="preserve">SLU Artdatabanken, 2026.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