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57294-2024 i Askersunds kommun</w:t>
      </w:r>
    </w:p>
    <w:p>
      <w:r>
        <w:t>Detta dokument behandlar höga naturvärden i avverkningsanmälan A 57294-2024 i Askersunds kommun. Denna avverkningsanmälan inkom 2024-12-03 och omfattar 5,8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11 naturvårdsarter hittats: backsippa (VU, §8), hällebräcka (VU, §7), backstarr (NT), klasefibbla (NT), sandviol (NT), slåtterfibbla (NT), svinrot (NT), vårstarr (NT), underviol (S), blåsippa (§9) och gullviva (§9).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76167"/>
            <wp:docPr id="1" name="Picture 1"/>
            <wp:cNvGraphicFramePr>
              <a:graphicFrameLocks noChangeAspect="1"/>
            </wp:cNvGraphicFramePr>
            <a:graphic>
              <a:graphicData uri="http://schemas.openxmlformats.org/drawingml/2006/picture">
                <pic:pic>
                  <pic:nvPicPr>
                    <pic:cNvPr id="0" name="A 57294-2024 karta.png"/>
                    <pic:cNvPicPr/>
                  </pic:nvPicPr>
                  <pic:blipFill>
                    <a:blip r:embed="rId16"/>
                    <a:stretch>
                      <a:fillRect/>
                    </a:stretch>
                  </pic:blipFill>
                  <pic:spPr>
                    <a:xfrm>
                      <a:off x="0" y="0"/>
                      <a:ext cx="5486400" cy="47761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6537249, E 501036 i SWEREF 99 TM.</w:t>
      </w:r>
    </w:p>
    <w:p>
      <w:r>
        <w:rPr>
          <w:b/>
        </w:rPr>
        <w:t xml:space="preserve">Underviol </w:t>
      </w:r>
      <w:r>
        <w:t>är en bra signalart i hela sitt utbredningsområde i såväl lövlundar som kalkbarrskogar. Arten är särskilt intressant när den förekommer i barrskog och indikerar då troligen relikta och hotade kalkbarrskogsekosystem. Underviol tål inte dagens storskaliga skogsbruksmetoder även om den vid enstaka tillfällen lyckas kvarstå i fuktdråg efter avverkning (Nitare &amp; Skogsstyrelsen, 2019).</w:t>
      </w:r>
    </w:p>
    <w:p>
      <w:pPr>
        <w:pStyle w:val="Heading1"/>
      </w:pPr>
      <w:r>
        <w:t>Fridlysta arter</w:t>
      </w:r>
    </w:p>
    <w:p>
      <w:r>
        <w:t>Följande fridlysta arter har sina livsmiljöer och växtplatser i den avverkningsanmälda skogen: backsippa (VU, §8), hällebräcka (VU, §7), blåsippa (§9) och gullviva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