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43619-2024 i Askersunds kommun</w:t>
      </w:r>
    </w:p>
    <w:p>
      <w:r>
        <w:t>Detta dokument behandlar höga naturvärden i avverkningsanmälan A 43619-2024 i Askersunds kommun. Denna avverkningsanmälan inkom 2024-10-04 00:00:00 och omfattar 6,8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5 naturvårdsarter hittats: barkkornlav (S), Scytinium lichenoides s.lat. (S), stenporella (S), svart trolldruva (S) och blåsippa (§9).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236126"/>
            <wp:docPr id="1" name="Picture 1"/>
            <wp:cNvGraphicFramePr>
              <a:graphicFrameLocks noChangeAspect="1"/>
            </wp:cNvGraphicFramePr>
            <a:graphic>
              <a:graphicData uri="http://schemas.openxmlformats.org/drawingml/2006/picture">
                <pic:pic>
                  <pic:nvPicPr>
                    <pic:cNvPr id="0" name="A 43619-2024 karta.png"/>
                    <pic:cNvPicPr/>
                  </pic:nvPicPr>
                  <pic:blipFill>
                    <a:blip r:embed="rId16"/>
                    <a:stretch>
                      <a:fillRect/>
                    </a:stretch>
                  </pic:blipFill>
                  <pic:spPr>
                    <a:xfrm>
                      <a:off x="0" y="0"/>
                      <a:ext cx="5486400" cy="523612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6518839, E 494118 i SWEREF 99 TM.</w:t>
      </w:r>
    </w:p>
    <w:p>
      <w:r>
        <w:rPr>
          <w:b/>
        </w:rPr>
        <w:t>Barkkornlav</w:t>
      </w:r>
      <w:r>
        <w:t xml:space="preserve"> växer på bark av bl.a. gran, ek, al, asp, rönn, sälg och en i ädellövskogar, granskogar, barr- och lövblandskogar med hög luftfuktighet. Barkkornlav är typisk art för </w:t>
      </w:r>
      <w:r>
        <w:rPr>
          <w:i/>
        </w:rPr>
        <w:t>9190 Näringsfattig ekskog</w:t>
      </w:r>
      <w:r>
        <w:t xml:space="preserve"> (SLU Artdatabanken, 2025).</w:t>
      </w:r>
    </w:p>
    <w:p>
      <w:r>
        <w:rPr>
          <w:b/>
        </w:rPr>
        <w:t>Stenporella</w:t>
      </w:r>
      <w:r>
        <w:t xml:space="preserve"> är i stora delar av landet en god signalart för skogsmiljöer med höga naturvärden. Den är beroende av konstant hög luftfuktighet och på dess lokaler förekommer ofta rödlistade mossor och lavar. Stenporella är typisk art för </w:t>
      </w:r>
      <w:r>
        <w:rPr>
          <w:i/>
        </w:rPr>
        <w:t xml:space="preserve">9750 Svämlövskog </w:t>
      </w:r>
      <w:r>
        <w:t>(Nitare &amp; Skogsstyrelsen, 2019; SLU Artdatabanken, 2025).</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Svart trolldruva är typisk art för </w:t>
      </w:r>
      <w:r>
        <w:rPr>
          <w:i/>
        </w:rPr>
        <w:t>9050 Näringsrik granskog,</w:t>
      </w:r>
      <w:r>
        <w:t xml:space="preserve"> </w:t>
      </w:r>
      <w:r>
        <w:rPr>
          <w:i/>
        </w:rPr>
        <w:t xml:space="preserve">9020 Nordlig ädellövskog, 9160 Näringsrik ekskog, 9180 Ädellövskog i branter </w:t>
      </w:r>
      <w:r>
        <w:t>och</w:t>
      </w:r>
      <w:r>
        <w:rPr>
          <w:i/>
        </w:rPr>
        <w:t xml:space="preserve"> 1610 Åsöar i Östersjön</w:t>
      </w:r>
      <w:r>
        <w:t xml:space="preserve"> (SLU Artdatabanken, 2024; Nitare &amp; Skogsstyrelsen, 2019).</w:t>
      </w:r>
    </w:p>
    <w:p>
      <w:pPr>
        <w:pStyle w:val="Heading1"/>
      </w:pPr>
      <w:r>
        <w:t>Fridlysta arter</w:t>
      </w:r>
    </w:p>
    <w:p>
      <w:r>
        <w:t>Följande fridlysta arter har sina livsmiljöer och växtplatser i den avverkningsanmälda skogen: blåsippa (§9).</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