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58660-2024 i Askersunds kommun</w:t>
      </w:r>
    </w:p>
    <w:p>
      <w:r>
        <w:t>Denna tillsynsbegäran behandlar höga naturvärden i avverkningsanmälan A 58660-2024 i Askersunds kommun som inkom 2024-12-09 och omfattar 1,1 ha.</w:t>
      </w:r>
    </w:p>
    <w:p>
      <w:pPr>
        <w:pStyle w:val="Caption"/>
      </w:pPr>
      <w:r>
        <w:drawing>
          <wp:inline xmlns:a="http://schemas.openxmlformats.org/drawingml/2006/main" xmlns:pic="http://schemas.openxmlformats.org/drawingml/2006/picture">
            <wp:extent cx="5120127" cy="5724000"/>
            <wp:docPr id="1" name="Picture 1"/>
            <wp:cNvGraphicFramePr>
              <a:graphicFrameLocks noChangeAspect="1"/>
            </wp:cNvGraphicFramePr>
            <a:graphic>
              <a:graphicData uri="http://schemas.openxmlformats.org/drawingml/2006/picture">
                <pic:pic>
                  <pic:nvPicPr>
                    <pic:cNvPr id="0" name="A 58660-2024 karta.png"/>
                    <pic:cNvPicPr/>
                  </pic:nvPicPr>
                  <pic:blipFill>
                    <a:blip r:embed="rId16"/>
                    <a:stretch>
                      <a:fillRect/>
                    </a:stretch>
                  </pic:blipFill>
                  <pic:spPr>
                    <a:xfrm>
                      <a:off x="0" y="0"/>
                      <a:ext cx="5120127" cy="5724000"/>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6527598, E 505822 i SWEREF 99 TM.</w:t>
      </w:r>
    </w:p>
    <w:p>
      <w:r>
        <w:t>I och inom 23 meter från avverkningsanmälan finns fynd av 11 naturvårdsarter, varav 3 är rödlistade, 2 är fridlysta, 9 är typiska (T) och 7 är signalarter (S): rökpipsvamp (VU), sårläka (NT, T), vårärt (NT, T), fällmossa (S, T), hasselticka (S, T), nästrot (S, §8), svart trolldruva (S, T), trubbfjädermossa (S, T), underviol (S, T), vätteros (S, T)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Rökpipsvamp (VU) </w:t>
      </w:r>
      <w:r>
        <w:t>är en skålsvamp vars fruktkroppar normalt kommer under mars–maj, men under milda vintrar kan de uppträda redan i januari. Den växer på halvt begravda, fuktigt liggande grenar av hassel i områden med hög luftfuktighet och rörligt markvatten, exempelvis intill bäckar, i dalsänkor, strandskogar och vid bergrötter. Arten indikerar starkt skyddsvärda skogar med lång kontinuitet av hassel i fuktiga lägen, där det successivt och kontinuerligt bildas döda och halvt begravda hasselgrenar. Rökpipsvampen försvinner vid avverkning och hotas även av att lokaler röjs eller städas, t.ex. genom bortplockning av nedfallna grenar och borthuggning av buskskiktet, så att brist på lämplig hasselved uppstår. Lokaler där svampen finns måste undantas från skogsbruk. Arten är placerad högst upp i Skogsstyrelsens värdepyramid för bedömning av skog med höga naturvärden och omfattas av ett åtgärdsprogram för hotade arter (ÅGP) (SLU Artdatabanken, 2026; Nitare &amp; Skogsstyrelsen, 2019; Rydberg, 2008).</w:t>
      </w:r>
    </w:p>
    <w:p>
      <w:r>
        <w:rPr>
          <w:b/>
        </w:rPr>
        <w:t>Sårläka (NT)</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Enligt Riksskogstaxeringens data förefaller den ha minskat kraftigt (&gt;50%) vilket troligen kan förklaras av det storskaliga skogsbruket med kalhyggen. Sårläka är typisk art för </w:t>
      </w:r>
      <w:r>
        <w:rPr>
          <w:i/>
        </w:rPr>
        <w:t xml:space="preserve">9050 Näringsrik granskog, 9020 Nordlig ädellövskog, 9130 Näringsrik bokskog </w:t>
      </w:r>
      <w:r>
        <w:t xml:space="preserve">och </w:t>
      </w:r>
      <w:r>
        <w:rPr>
          <w:i/>
        </w:rPr>
        <w:t>9160 Näringsrik ekskog</w:t>
      </w:r>
      <w:r>
        <w:t xml:space="preserve"> samt värdväxt för den rödlistade fjärilen sårläkeplattmal (NT) (SLU Artdatabanken, 2026; Nitare &amp; Skogsstyrelsen, 2019).</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Hasselticka</w:t>
      </w:r>
      <w:r>
        <w:t xml:space="preserve"> är en bra signalart för lundar med höga naturvärden. På lokalerna förekommer ofta många andra ovanliga och rödlistade arter. Växtplatserna har normalt långvarig lövkontinuitet av hassel (ibland al). Den kräver dessutom att det successivt bildas, och i området kontinuerligt förekommit, en viss mängd döda stammar. Arten tycks saknas i sekundära och i sen tid uppkomna al- och hasselmarker om dessa inte ligger i direkt anslutning till äldre förekomster. Hasselticka är typisk art för </w:t>
      </w:r>
      <w:r>
        <w:rPr>
          <w:i/>
        </w:rPr>
        <w:t xml:space="preserve">9020 Nordlig ädellövskog </w:t>
      </w:r>
      <w:r>
        <w:t xml:space="preserve">och </w:t>
      </w:r>
      <w:r>
        <w:rPr>
          <w:i/>
        </w:rPr>
        <w:t xml:space="preserve">9160 Näringsrik ekskog </w:t>
      </w:r>
      <w:r>
        <w:t>(Nitare &amp; Skogsstyrelsen, 2019; SLU Artdatabanken, 2025).</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Trubbfjädermossa</w:t>
      </w:r>
      <w:r>
        <w:t xml:space="preserve"> signalerar vanligtvis skog med höga naturvärden och den växer på något skuggade block eller trädbaser, oftast nära marken, eller på jord intill vattendrag. Den trivs bäst i ädellövskog och förekommer ofta tillsammans med baronmossor </w:t>
      </w:r>
      <w:r>
        <w:rPr>
          <w:i/>
        </w:rPr>
        <w:t>Anomodon</w:t>
      </w:r>
      <w:r>
        <w:t xml:space="preserve"> och fjädermossor</w:t>
      </w:r>
      <w:r>
        <w:rPr>
          <w:i/>
        </w:rPr>
        <w:t xml:space="preserve"> Neckera</w:t>
      </w:r>
      <w:r>
        <w:t xml:space="preserve">. Trubbfjädermossa är typisk art för </w:t>
      </w:r>
      <w:r>
        <w:rPr>
          <w:i/>
        </w:rPr>
        <w:t>9020 Nordlig ädellövskog,</w:t>
      </w:r>
      <w:r>
        <w:t xml:space="preserve"> </w:t>
      </w:r>
      <w:r>
        <w:rPr>
          <w:i/>
        </w:rPr>
        <w:t xml:space="preserve">9080 Lövsumpskog, 9750 Svämlövskog, 9110 Näringsfattig bokskog, 9130 Näringsrik bokskog </w:t>
      </w:r>
      <w:r>
        <w:t xml:space="preserve">och </w:t>
      </w:r>
      <w:r>
        <w:rPr>
          <w:i/>
        </w:rPr>
        <w:t xml:space="preserve">9760 Svämädellövskog </w:t>
      </w:r>
      <w:r>
        <w:t>(Nitare &amp; Skogsstyrelsen, 2019; SLU Artdatabanken, 2025).</w:t>
      </w:r>
    </w:p>
    <w:p>
      <w:r>
        <w:rPr>
          <w:b/>
        </w:rPr>
        <w:t xml:space="preserve">Underviol </w:t>
      </w:r>
      <w:r>
        <w:t xml:space="preserve">är en bra signalart i hela sitt utbredningsområde i såväl lövlundar som kalkbarrskogar. Arten är särskilt intressant när den förekommer i barrskog och indikerar då troligen relikta och hotade kalkbarrskogsekosystem. Underviol tål inte dagens storskaliga skogsbruksmetoder även om den vid enstaka tillfällen lyckas kvarstå i fuktdråg efter avverkning. Underviol är typisk art för </w:t>
      </w:r>
      <w:r>
        <w:rPr>
          <w:i/>
        </w:rPr>
        <w:t xml:space="preserve">9050 Näringsrik granskog, 9020 Nordlig ädellövskog </w:t>
      </w:r>
      <w:r>
        <w:t xml:space="preserve">och </w:t>
      </w:r>
      <w:r>
        <w:rPr>
          <w:i/>
        </w:rPr>
        <w:t>9160 Näringsrik ekskog</w:t>
      </w:r>
      <w:r>
        <w:t xml:space="preserve"> (Nitare &amp; Skogsstyrelsen, 2019; SLU Artdatabanken, 2024).</w:t>
      </w:r>
    </w:p>
    <w:p>
      <w:r>
        <w:rPr>
          <w:b/>
        </w:rPr>
        <w:t xml:space="preserve">Vätteros </w:t>
      </w:r>
      <w:r>
        <w:t xml:space="preserve">är typisk art för </w:t>
      </w:r>
      <w:r>
        <w:rPr>
          <w:i/>
        </w:rPr>
        <w:t xml:space="preserve">9020 Nordlig ädellövskog </w:t>
      </w:r>
      <w:r>
        <w:t>och</w:t>
      </w:r>
      <w:r>
        <w:rPr>
          <w:i/>
        </w:rPr>
        <w:t xml:space="preserve"> 9160 Näringsrik ekskog </w:t>
      </w:r>
      <w:r>
        <w:t>(SLU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sårläka (NT, T), vårärt (NT, T), fällmossa (S, T), hasselticka (S, T), svart trolldruva (S, T), trubbfjädermossa (S, T), underviol (S, T), vätteros (S, T) och blåsippa (T, §9).</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