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53025-2025 i Karlskoga kommun</w:t>
      </w:r>
    </w:p>
    <w:p>
      <w:r>
        <w:t>Denna tillsynsbegäran behandlar höga naturvärden i avverkningsanmälan A 53025-2025 i Karlskoga kommun som inkom 2025-10-28 och omfattar 5,7 ha.</w:t>
      </w:r>
    </w:p>
    <w:p>
      <w:pPr>
        <w:pStyle w:val="Caption"/>
      </w:pPr>
      <w:r>
        <w:drawing>
          <wp:inline xmlns:a="http://schemas.openxmlformats.org/drawingml/2006/main" xmlns:pic="http://schemas.openxmlformats.org/drawingml/2006/picture">
            <wp:extent cx="5104392" cy="5724000"/>
            <wp:docPr id="1" name="Picture 1"/>
            <wp:cNvGraphicFramePr>
              <a:graphicFrameLocks noChangeAspect="1"/>
            </wp:cNvGraphicFramePr>
            <a:graphic>
              <a:graphicData uri="http://schemas.openxmlformats.org/drawingml/2006/picture">
                <pic:pic>
                  <pic:nvPicPr>
                    <pic:cNvPr id="0" name="A 53025-2025 karta.png"/>
                    <pic:cNvPicPr/>
                  </pic:nvPicPr>
                  <pic:blipFill>
                    <a:blip r:embed="rId16"/>
                    <a:stretch>
                      <a:fillRect/>
                    </a:stretch>
                  </pic:blipFill>
                  <pic:spPr>
                    <a:xfrm>
                      <a:off x="0" y="0"/>
                      <a:ext cx="5104392"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6580686, E 476683 i SWEREF 99 TM.</w:t>
      </w:r>
    </w:p>
    <w:p>
      <w:r>
        <w:t>I och inom 25 meter från avverkningsanmälan finns fynd av 22 naturvårdsarter, varav 11 är rödlistade, 1 är fridlyst, 13 är typiska (T) och 10 är signalarter (S): finporing (VU), honungsticka (VU), liten hornflikmossa (VU), pälsfrullania (VU), gransotdyna (NT), kandelabersvamp (NT, T), kötticka (NT), platt spretmossa (NT, T), storgröe (NT, T), veckticka (NT, T), ljungporing (DD), blåsfliksmossa (S, T), dvärgkällmossa (S), gulnål (S, T), kornig nållav (S, T), mörk husmossa (S, T), piskbaronmossa (S, T), platt fjädermossa (S, T), svart trolldruva (S, T), trind spretmossa (S), trubbfjädermossa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Finporing (VU)</w:t>
      </w:r>
      <w:r>
        <w:t xml:space="preserve"> är en iögonfallande art knuten till fuktiga naturskogsartade miljöer med grova träd och mycket död ved i olika nedbrytningsstadier. Den växer på lågor av både löv- och barrträd, t.ex. gråal, björk och gran. Fruktkropparna utvecklas ofta på undersidan av djupt nedsjunkna lågor som fortfarande har barken kvar. Artens ekologi behöver klarläggas bättre. I väntan på detta måste kända växtplatser säkerställas (SLU Artdatabanken, 2024).</w:t>
      </w:r>
    </w:p>
    <w:p>
      <w:r>
        <w:rPr>
          <w:b/>
        </w:rPr>
        <w:t>Honungsticka (VU)</w:t>
      </w:r>
      <w:r>
        <w:t xml:space="preserve"> är en sällsynt art som är knuten till aspskog eller granskog med asp och förekommer främst i sena successioner. Slutavverkning, skoglig gallring eller annat uttag av virke på växtplatsen som ger ett förändrat lokalklimat innebär ett direkt hot mot arten (SLU Artdatabanken, 2024).</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r>
        <w:rPr>
          <w:b/>
        </w:rPr>
        <w:t>Pälsfrullania (VU)</w:t>
      </w:r>
      <w:r>
        <w:t xml:space="preserve"> är en bladlevermossa som växer på lövträd med slät bark på lokaler med mycket hög luftfuktighet. Var tidigare endast känd från några träd av gråal i två närliggande raviner i Värmland och ytterligare några lokaler upp till Ångermanland. Förekomsterna är mycket små och individfattiga. Arten är extremt sårbar för alla ingrepp som innebär ändring i lokalklimatet, t.ex. slutavverkning, röjning, gallring eller förändring av hydrologin i området (SLU Artdatabanken, 2026).</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Platt spretmossa (NT)</w:t>
      </w:r>
      <w:r>
        <w:t xml:space="preserve"> omfattas av EU:s art- och habitatdirektiv där dess bevarandestatus är otillfredsställande med negativ trend. Arten växer på murken ved eller på torvrik jord på fuktiga eller mycket fuktiga och skuggiga platser, ofta i al- och gransumpskogar med periodvis översvämning, eller utmed vattendrag. Den hotas av uthuggning, torrläggning och avverkning av sumpskogar. Platt spretmossa är rödlistad som nära hotad (NT) i den europeiska rödlistan och typisk art för </w:t>
      </w:r>
      <w:r>
        <w:rPr>
          <w:i/>
        </w:rPr>
        <w:t xml:space="preserve">9080 Lövsumpskog </w:t>
      </w:r>
      <w:r>
        <w:t xml:space="preserve">och </w:t>
      </w:r>
      <w:r>
        <w:rPr>
          <w:i/>
        </w:rPr>
        <w:t>9750 Svämlövskog</w:t>
      </w:r>
      <w:r>
        <w:t xml:space="preserve"> (SLU Artdatabanken, 2024; IUCN, 2024).</w:t>
      </w:r>
    </w:p>
    <w:p>
      <w:r>
        <w:rPr>
          <w:b/>
        </w:rPr>
        <w:t xml:space="preserve">Storgröe (NT) </w:t>
      </w:r>
      <w:r>
        <w:t xml:space="preserve">växer helst i eller vid källor, i bäckraviner, i frodiga skogssluttningar eller sumpskog. Rörligt, gärna något kalkpåverkat, ytligt grundvatten är en förutsättning. Det är främst förändringar av hydrologiska förhållanden genom dikning, körning med skogsfordon eller avverkning som hotar arten. Växtplatserna bör undantas från normal skogsproduktion och kalavverkning är direkt olämpligt. Storgröe är typisk art för </w:t>
      </w:r>
      <w:r>
        <w:rPr>
          <w:i/>
        </w:rPr>
        <w:t xml:space="preserve">9020 Nordlig ädellövskog </w:t>
      </w:r>
      <w:r>
        <w:t>och</w:t>
      </w:r>
      <w:r>
        <w:rPr>
          <w:i/>
        </w:rPr>
        <w:t xml:space="preserve"> 9080 Lövsumpskog</w:t>
      </w:r>
      <w:r>
        <w:t xml:space="preserve"> (SLU Artdatabanken, 2024).</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Veckticka är typisk art för </w:t>
      </w:r>
      <w:r>
        <w:rPr>
          <w:i/>
        </w:rPr>
        <w:t xml:space="preserve">9010 Taiga </w:t>
      </w:r>
      <w:r>
        <w:t xml:space="preserve">och </w:t>
      </w:r>
      <w:r>
        <w:rPr>
          <w:i/>
        </w:rPr>
        <w:t>9030 Landhöjningsskog</w:t>
      </w:r>
      <w:r>
        <w:t xml:space="preserve"> (SLU Artdatabanken, 2024; Nitare &amp; Skogsstyrelsen, 2019).</w:t>
      </w:r>
    </w:p>
    <w:p>
      <w:r>
        <w:rPr>
          <w:b/>
        </w:rPr>
        <w:t>Ljungporing (DD)</w:t>
      </w:r>
      <w:r>
        <w:t xml:space="preserve"> har en oklar fyndbild både i avseende på utbredning och substrat, men verkar framförallt finnas i äldre mer ovanliga skogsmiljöer. Arten påverkas negativt av brist på död ved. Faktaunderlaget bedöms vara otillräckligt för att avgöra vilken av de olika rödlistningskategorierna som är mest trolig (SLU Artdatabanken, 2026).</w:t>
      </w:r>
    </w:p>
    <w:p>
      <w:r>
        <w:rPr>
          <w:b/>
        </w:rPr>
        <w:t xml:space="preserve">Blåsfliksmossa </w:t>
      </w:r>
      <w:r>
        <w:t xml:space="preserve">växer i skuggiga och fuktiga miljöer på klippor och stenar av såväl grönsten som silikat, till exempel intill naturliga skogsbäckar, i raviner och bergbranter. Den signalerar höga naturvärden främst i östra och norra Sverige och indikerar miljöer med jämn och hög luftfuktighet och ett basiskt underlag. Artens lokaler har ofta hög artrikedom. Blåsfliksmossa är typisk art för </w:t>
      </w:r>
      <w:r>
        <w:rPr>
          <w:i/>
        </w:rPr>
        <w:t>9080 Lövsumpskog</w:t>
      </w:r>
      <w:r>
        <w:t xml:space="preserve"> (SLU Artdatabanken, 2025;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Piskbaronmossa</w:t>
      </w:r>
      <w:r>
        <w:t xml:space="preserve"> indikerar skog med lång kontinuitet och biotoper med höga naturvärden. Den växer mest i skuggig skogsmiljö, antingen i äldre ädellövskog på till exempel gammelträd eller i branter där det finns neutrala eller basiska bergarter. Piskbaronmossa är typisk art för </w:t>
      </w:r>
      <w:r>
        <w:rPr>
          <w:i/>
        </w:rPr>
        <w:t>9020 Nordlig ädellövskog, 9080 Lövsumpskog, 9130 Näringsrik bokskog, 9160 Näringsrik ekskog, 9180 Ädellövskog i branter</w:t>
      </w:r>
      <w:r>
        <w:t xml:space="preserve"> och</w:t>
      </w:r>
      <w:r>
        <w:rPr>
          <w:i/>
        </w:rPr>
        <w:t xml:space="preserve"> 9750 Svämlövskog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Trind spretmossa </w:t>
      </w:r>
      <w:r>
        <w:t>kräver ett konstant fuktigt mikroklimat och påträffas ofta i skogsbiotoper med höga naturvärden, till exempel i skuggiga raviner och kanjondalar med välutvecklade mossmattor. Rika förekomster av trind spretmossa indikerar miljöer med lång kontinuitet av hög luftfuktighet, och därmed ofta höga naturvärden (SLU Artdatabanken, 2024; Nitare &amp; Skogsstyrelsen, 2019).</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kandelabersvamp (NT, T), platt spretmossa (NT, T), storgröe (NT, T), veckticka (NT, T), blåsfliksmossa (S, T), gulnål (S, T), kornig nållav (S, T), mörk husmossa (S, T), piskbaronmossa (S, T), platt fjädermossa (S, T), svart trolldruva (S, T), trubbfjädermossa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