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57386-2020 i Karlskoga kommun</w:t>
      </w:r>
    </w:p>
    <w:p>
      <w:r>
        <w:t>Detta dokument behandlar höga naturvärden i avverkningsanmälan A 57386-2020 i Karlskoga kommun. Denna avverkningsanmälan inkom 2020-11-05 00:00:00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bivråk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57386-2020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6594618, E 479122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Bivråk (§4)</w:t>
      </w:r>
      <w:r>
        <w:t xml:space="preserve"> ingår i bilaga 1 i EU:s fågeldirektiv och är prioriterad art i Skogsvårdslagen. Den har minskat med 2/3-delar sedan 1970-talet och under de senaste 30 åren (tre generationer) med närmare 50 %. Inför rödlistan 2020 hade den stabiliserat sig på en längre nivå och blev klassad som livskraftig (LC). Arten häckar i tät, ogallrad skog på högproduktiv mark, i södra Sverige främst i lövskogsrika trakter, i Norrland till stor del i högproduktiv granskog, Födan består av getinglarver och -puppor, men även av fågelungar och groddjur. Kring alla boplatser ska det lämnas en skyddszon vid avverkning eller andra skogliga åtgärder. Som tumregel ska skyddszonen vara så bred att boet inte syns väl från öppen mark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(§4) ingår i bilaga 1 i EU:s fågeldirektiv och är prioriterad art i Skogsvårdslagen. Den har minskat med 2/3-delar sedan 1970-talet och under de senaste 30 åren (tre generationer) med närmare 50 %. Inför rödlistan 2020 hade den stabiliserat sig på en längre nivå och blev klassad som livskraftig (LC). (SLU Artdatabanken, 2024).</w:t>
      </w:r>
    </w:p>
    <w:p>
      <w:r>
        <w:t>Arten häckar i tät, ogallrad skog på högproduktiv mark, i södra Sverige främst i lövskogsrika trakter, i Norrland till stor del i högproduktiv granskog, Födan består av getinglarver och -puppor, men även av fågelungar och groddjur. (SLU Artdatabanken, 2024).</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"förtorkning"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2024).</w:t>
      </w:r>
    </w:p>
    <w:p>
      <w:r>
        <w:t>Kring alla boplatser ska det lämnas en skyddszon vid avverkning eller andra skogliga åtgärder. Som tumregel ska skyddszonen vara så bred att boet inte syns väl från öppen mark (Skogsstyrelsen, 2016).</w:t>
      </w:r>
    </w:p>
    <w:p>
      <w:pPr>
        <w:pStyle w:val="Heading2"/>
      </w:pPr>
      <w:r>
        <w:t>Referenser – bivråk</w:t>
      </w:r>
    </w:p>
    <w:p>
      <w:r>
        <w:t xml:space="preserve">Skogsstyrelsen, 2016. </w:t>
      </w:r>
      <w:r>
        <w:rPr>
          <w:i/>
        </w:rPr>
        <w:t xml:space="preserve">Vägledning för hänsyn till bivråk. </w:t>
      </w:r>
      <w:r>
        <w:t>https://www.skogsstyrelsen.se/lag-och-tillsyn/artskydd/vagledningar-och-kunskapsstod-artskydd/vagledning-for-hansyn-till-bivrak/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