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64125-2021 i Karlskoga kommun</w:t>
      </w:r>
    </w:p>
    <w:p>
      <w:r>
        <w:t>Denna tillsynsbegäran behandlar höga naturvärden i avverkningsanmälan A 64125-2021 i Karlskoga kommun som inkom 2021-11-10 och omfattar 6,5 ha.</w:t>
      </w:r>
    </w:p>
    <w:p>
      <w:pPr>
        <w:pStyle w:val="Caption"/>
      </w:pPr>
      <w:r>
        <w:drawing>
          <wp:inline xmlns:a="http://schemas.openxmlformats.org/drawingml/2006/main" xmlns:pic="http://schemas.openxmlformats.org/drawingml/2006/picture">
            <wp:extent cx="5486400" cy="4557643"/>
            <wp:docPr id="1" name="Picture 1"/>
            <wp:cNvGraphicFramePr>
              <a:graphicFrameLocks noChangeAspect="1"/>
            </wp:cNvGraphicFramePr>
            <a:graphic>
              <a:graphicData uri="http://schemas.openxmlformats.org/drawingml/2006/picture">
                <pic:pic>
                  <pic:nvPicPr>
                    <pic:cNvPr id="0" name="A 64125-2021 karta.png"/>
                    <pic:cNvPicPr/>
                  </pic:nvPicPr>
                  <pic:blipFill>
                    <a:blip r:embed="rId16"/>
                    <a:stretch>
                      <a:fillRect/>
                    </a:stretch>
                  </pic:blipFill>
                  <pic:spPr>
                    <a:xfrm>
                      <a:off x="0" y="0"/>
                      <a:ext cx="5486400" cy="455764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6580005, E 475338 i SWEREF 99 TM.</w:t>
      </w:r>
    </w:p>
    <w:p>
      <w:r>
        <w:t>I och inom 11 meter från avverkningsanmälan finns fynd av 16 naturvårdsarter, varav 5 är rödlistade, 1 är fridlyst, 9 är typiska (T) och 11 är signalarter (S): gäckporing (NT), motaggsvamp (NT, T), stubbtrådmossa (NT), svartvit taggsvamp (NT), ullticka (NT, T), bronshjon (S, T), flagellkvastmossa (S, T), gulnål (S, T), kornig nållav (S, T), nordisk klipptuss (S, §8), rostfläck (S, T), smal svampklubba (S), stubbspretmossa (S, T), trind spretmossa (S), vedticka (S, T)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Gäckporing (NT)</w:t>
      </w:r>
      <w:r>
        <w:t xml:space="preserve"> är en brunrötande vedsvamp som i Sverige mest tycks förekomma i talldominerad skog med mycket ved i olika nedbrytningsstadier, helst senvuxen tallved. Arten hotas främst av slutavverkning och av den minskande tillgången på död ved i de brukade skogarna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Stubbtrådmossa (NT)</w:t>
      </w:r>
      <w:r>
        <w:t xml:space="preserve"> är en bladlevermossa som växer uteslutande på murken ved gärna tillsammans med vedsäckmossa (VU) i fuktig barrskog och arten har sin tyngdpunkt i södra och mellersta Sverige. Genom att arten inte klarar kalavverkning, till stor del fortfarande finns mest i produktionsskog med lång trädkontinuitet gör avverkningar av denna typ av skog att artens population kommer att fortsätta att minska. Alla skogsskötselåtgärder på eller i omedelbar närhet av artens lokaler utgör ett hot. Aktuella lokaler bör undantas från rationell skogsskötsel. För att klara arten på sikt måste mängden död ved i landets granskogar öka väsentligt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Nordisk klipptuss (§8)</w:t>
      </w:r>
      <w:r>
        <w:t xml:space="preserve"> omfattas av bilaga 2 EU:s art- och habitatdirektiv och är fridlyst enligt 8 § artskyddsförordningen. Den växer på periodvis fuktiga klippor/lodytor i skuggiga till halvexponerade lägen på lokaler med förhållandevis hög luftfuktighet och indikerar skyddsvärda branter som inte frihuggits. Sverige är det land som har störst andel av världspopulationen och alla bergbranter med förekomst av arten bör uppmärksammas och skyddas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Trind spretmossa </w:t>
      </w:r>
      <w:r>
        <w:t>kräver ett konstant fuktigt mikroklimat och påträffas ofta i skogsbiotoper med höga naturvärden, till exempel i skuggiga raviner och kanjondalar med välutvecklade mossmattor. Rika förekomster av trind spretmossa indikerar miljöer med lång kontinuitet av hög luftfuktighet, och därmed ofta höga naturvärden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motaggsvamp (NT, T), ullticka (NT, T), bronshjon (S, T), flagellkvastmossa (S, T), gulnål (S, T), kornig nållav (S, T), rostfläck (S, T), stubbspretmossa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