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64125-2021 i Karlskoga kommun</w:t>
      </w:r>
    </w:p>
    <w:p>
      <w:r>
        <w:t>Detta dokument behandlar höga naturvärden i avverkningsanmälan A 64125-2021 i Karlskoga kommun. Denna avverkningsanmälan inkom 2021-11-10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gäckporing (NT), motaggsvamp (NT), stubbtrådmossa (NT), ullticka (NT), bronshjon (S), flagellkvastmossa (S), gulnål (S), kornig nållav (S), nordisk klipptuss (S, §8), rostfläck (S), smal svampklubba (S), trind spretmossa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125-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6580005, E 475338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nordisk klipptuss (S, §8).</w:t>
      </w:r>
    </w:p>
    <w:p>
      <w:r>
        <w:rPr>
          <w:b/>
        </w:rPr>
        <w:t>Nordisk klipptuss (§8)</w:t>
      </w:r>
      <w:r>
        <w:t xml:space="preserve"> omfattas av bilaga 2 EU:s art- och habitatdirektiv och är fridlyst enligt 8 § artskyddsförordningen. Den växer på periodvis fuktiga klippor/lodytor i skuggiga till halvexponerade lägen på lokaler med förhållandevis hög luftfuktighet och indikerar skyddsvärda branter som inte frihuggits. Sverige är det land som har störst andel av världspopulationen och alla bergbranter med förekomst av arten bör uppmärksammas och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