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och fridlysta arter i avverkningsanmälan A 28566-2024 i Karlskoga kommun</w:t>
      </w:r>
    </w:p>
    <w:p>
      <w:r>
        <w:t>Denna tillsynsbegäran behandlar höga naturvärden i avverkningsanmälan A 28566-2024 i Karlskoga kommun som inkom 2024-07-05 och omfattar 1,0 ha.</w:t>
      </w:r>
    </w:p>
    <w:p>
      <w:pPr>
        <w:pStyle w:val="Caption"/>
      </w:pPr>
      <w:r>
        <w:drawing>
          <wp:inline xmlns:a="http://schemas.openxmlformats.org/drawingml/2006/main" xmlns:pic="http://schemas.openxmlformats.org/drawingml/2006/picture">
            <wp:extent cx="5486400" cy="4814663"/>
            <wp:docPr id="1" name="Picture 1"/>
            <wp:cNvGraphicFramePr>
              <a:graphicFrameLocks noChangeAspect="1"/>
            </wp:cNvGraphicFramePr>
            <a:graphic>
              <a:graphicData uri="http://schemas.openxmlformats.org/drawingml/2006/picture">
                <pic:pic>
                  <pic:nvPicPr>
                    <pic:cNvPr id="0" name="A 28566-2024 karta.png"/>
                    <pic:cNvPicPr/>
                  </pic:nvPicPr>
                  <pic:blipFill>
                    <a:blip r:embed="rId16"/>
                    <a:stretch>
                      <a:fillRect/>
                    </a:stretch>
                  </pic:blipFill>
                  <pic:spPr>
                    <a:xfrm>
                      <a:off x="0" y="0"/>
                      <a:ext cx="5486400" cy="4814663"/>
                    </a:xfrm>
                    <a:prstGeom prst="rect"/>
                  </pic:spPr>
                </pic:pic>
              </a:graphicData>
            </a:graphic>
          </wp:inline>
        </w:drawing>
      </w:r>
    </w:p>
    <w:p>
      <w:pPr>
        <w:pStyle w:val="Caption"/>
        <w:spacing w:after="240"/>
      </w:pPr>
      <w:r>
        <w:t>Figur 1. Fyndplatser för naturvårdsarter i avverkningsanmälan. Markörer utan svart kant är placerade på fyndplatsen. Markörer med svart kant är placerade vid sidan av fyndplatsen och har ett svart streck som visar fyndplatsens exakta position. Kartans mittpunktskoordinat är N 6583145, E 473888 i SWEREF 99 TM.</w:t>
      </w:r>
    </w:p>
    <w:p>
      <w:r>
        <w:t>I avverkningsanmälan finns fynd av 1 naturvårdsarter, varav 1 är fridlyst: ärtsångare (§4).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pPr>
        <w:pStyle w:val="Heading1"/>
      </w:pPr>
      <w:r>
        <w:t>EU:s fågeldirektiv</w:t>
      </w:r>
    </w:p>
    <w:p>
      <w:r>
        <w:t xml:space="preserve">Europeiska unionens medlemsländer är skyldiga att agera i enlighet med EU:s fågeldirektiv där det uttryckligen står att direktivet gäller för fåglar samt för deras ägg, bon och </w:t>
      </w:r>
      <w:r>
        <w:rPr>
          <w:b/>
        </w:rPr>
        <w:t xml:space="preserve">livsmiljöer </w:t>
      </w:r>
      <w:r>
        <w:t>(artikel 1). Vidare att de åtgärder som vidtas inte får leda till en försämring av den nuvarande situationen beträffande bevarandet av de fågelarter som avses i artikel 1 (artikel 13). Fågeldirektivet är styrande för tillsynsansvariga myndigheters ärendehantering, ställningstaganden och beslutsfattande.</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2026-10-14</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