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33136-2025 i Nora kommun</w:t>
      </w:r>
    </w:p>
    <w:p>
      <w:r>
        <w:t>Detta klagomål behandlar höga naturvärden i avverkningsanmälan A 33136-2025 i Nora kommun som inkom 2025-07-02 och omfattar 4,2 ha.</w:t>
      </w:r>
    </w:p>
    <w:p>
      <w:pPr>
        <w:pStyle w:val="Caption"/>
      </w:pPr>
      <w:r>
        <w:drawing>
          <wp:inline xmlns:a="http://schemas.openxmlformats.org/drawingml/2006/main" xmlns:pic="http://schemas.openxmlformats.org/drawingml/2006/picture">
            <wp:extent cx="5486400" cy="5060308"/>
            <wp:docPr id="1" name="Picture 1"/>
            <wp:cNvGraphicFramePr>
              <a:graphicFrameLocks noChangeAspect="1"/>
            </wp:cNvGraphicFramePr>
            <a:graphic>
              <a:graphicData uri="http://schemas.openxmlformats.org/drawingml/2006/picture">
                <pic:pic>
                  <pic:nvPicPr>
                    <pic:cNvPr id="0" name="A 33136-2025 karta.png"/>
                    <pic:cNvPicPr/>
                  </pic:nvPicPr>
                  <pic:blipFill>
                    <a:blip r:embed="rId16"/>
                    <a:stretch>
                      <a:fillRect/>
                    </a:stretch>
                  </pic:blipFill>
                  <pic:spPr>
                    <a:xfrm>
                      <a:off x="0" y="0"/>
                      <a:ext cx="5486400" cy="5060308"/>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6595446, E 501023 i SWEREF 99 TM.</w:t>
      </w:r>
    </w:p>
    <w:p>
      <w:r>
        <w:t>I och inom 23 meter från avverkningsanmälan finns fynd av 6 naturvårdsarter, varav 2 är rödlistade, 3 är fridlysta, 3 är typiska (T) och 1 är signalart (S): orange taggsvamp (NT, T), tallticka (NT, T), smal svampklubba (S), spillkråka (T, §4), lopplummer (aggregat) (§9) och äkta lopplummer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