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53600-2025 i Nora kommun</w:t>
      </w:r>
    </w:p>
    <w:p>
      <w:r>
        <w:t>Detta dokument behandlar höga naturvärden i avverkningsanmälan A 53600-2025 i Nora kommun som inkom 2025-10-30 och omfattar 9,3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221323"/>
            <wp:docPr id="1" name="Picture 1"/>
            <wp:cNvGraphicFramePr>
              <a:graphicFrameLocks noChangeAspect="1"/>
            </wp:cNvGraphicFramePr>
            <a:graphic>
              <a:graphicData uri="http://schemas.openxmlformats.org/drawingml/2006/picture">
                <pic:pic>
                  <pic:nvPicPr>
                    <pic:cNvPr id="0" name="A 53600-2025 karta.png"/>
                    <pic:cNvPicPr/>
                  </pic:nvPicPr>
                  <pic:blipFill>
                    <a:blip r:embed="rId16"/>
                    <a:stretch>
                      <a:fillRect/>
                    </a:stretch>
                  </pic:blipFill>
                  <pic:spPr>
                    <a:xfrm>
                      <a:off x="0" y="0"/>
                      <a:ext cx="5486400" cy="4221323"/>
                    </a:xfrm>
                    <a:prstGeom prst="rect"/>
                  </pic:spPr>
                </pic:pic>
              </a:graphicData>
            </a:graphic>
          </wp:inline>
        </w:drawing>
      </w:r>
    </w:p>
    <w:p>
      <w:pPr>
        <w:pStyle w:val="Caption"/>
        <w:spacing w:after="240"/>
      </w:pPr>
      <w:r>
        <w:t>Figur 1. Fyndplatser för naturvårdsarter i och inom 14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6596802, E 500730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och inom 14 meter från avverkningsanmälan har följande 5 naturvårdsarter hittats: flodpärlmussla (EN), stare (VU, §4), björktrast (NT, §4), hultbräken (T) och utter (§4a). Av dessa är 3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stare (VU, §4), björktrast (NT, §4) och utter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2"/>
      </w:pPr>
      <w:r>
        <w:t>Övriga naturvårdsarter</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rPr>
          <w:b/>
        </w:rPr>
        <w:t xml:space="preserve">Hultbräken </w:t>
      </w:r>
      <w:r>
        <w:t xml:space="preserve">är typisk art för </w:t>
      </w:r>
      <w:r>
        <w:rPr>
          <w:i/>
        </w:rPr>
        <w:t xml:space="preserve">9050 Näringsrik granskog </w:t>
      </w:r>
      <w:r>
        <w:t>(SLU Artdatabanken, 2025).</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