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43148-2025 i Nora kommun</w:t>
      </w:r>
    </w:p>
    <w:p>
      <w:r>
        <w:t>Denna tillsynsbegäran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6596508, E 485494 i SWEREF 99 TM.</w:t>
      </w:r>
    </w:p>
    <w:p>
      <w:r>
        <w:t>I avverkningsanmälan finns fynd av 4 naturvårdsarter, varav 1 är fridlyst, 3 är typiska (T) och 2 är signalarter (S): hässleklocka (S, T), purpurknipprot (S, §8), hultbräken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Hultbräken </w:t>
      </w:r>
      <w:r>
        <w:t xml:space="preserve">är typisk art för </w:t>
      </w:r>
      <w:r>
        <w:rPr>
          <w:i/>
        </w:rPr>
        <w:t xml:space="preserve">9050 Näringsrik granskog </w:t>
      </w:r>
      <w:r>
        <w:t>(SLU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