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103199"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1031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68 naturvårdsarter, varav 35 är rödlistade, 17 är fridlysta, 23 är typiska (T) och 21 är signalarter (S): brödtaggsvamp (EN), raggtaggsvamp (EN), slät taggsvamp (EN), violgubbe (EN), brun gräsfjäril (VU, §4a), grangråticka (VU, T), gul taggsvamp (VU, T), kopparspindling (VU), läderdoftande fingersvamp (VU), stor odörspindling (VU), taggfingersvamp (VU), violettrandad spindling (VU), väddnätfjäril (VU, §6), barrviolspindling (NT), blek fingersvamp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grov fjädermossa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grov fjädermossa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