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56950-2025 i Nora kommun</w:t>
      </w:r>
    </w:p>
    <w:p>
      <w:r>
        <w:t>Detta klagomål behandlar höga naturvärden i avverkningsanmälan A 56950-2025 i Nora kommun som inkom 2025-11-17 och omfattar 5,4 ha.</w:t>
      </w:r>
    </w:p>
    <w:p>
      <w:pPr>
        <w:pStyle w:val="Caption"/>
      </w:pPr>
      <w:r>
        <w:drawing>
          <wp:inline xmlns:a="http://schemas.openxmlformats.org/drawingml/2006/main" xmlns:pic="http://schemas.openxmlformats.org/drawingml/2006/picture">
            <wp:extent cx="5486400" cy="5687718"/>
            <wp:docPr id="1" name="Picture 1"/>
            <wp:cNvGraphicFramePr>
              <a:graphicFrameLocks noChangeAspect="1"/>
            </wp:cNvGraphicFramePr>
            <a:graphic>
              <a:graphicData uri="http://schemas.openxmlformats.org/drawingml/2006/picture">
                <pic:pic>
                  <pic:nvPicPr>
                    <pic:cNvPr id="0" name="A 56950-2025 karta.png"/>
                    <pic:cNvPicPr/>
                  </pic:nvPicPr>
                  <pic:blipFill>
                    <a:blip r:embed="rId16"/>
                    <a:stretch>
                      <a:fillRect/>
                    </a:stretch>
                  </pic:blipFill>
                  <pic:spPr>
                    <a:xfrm>
                      <a:off x="0" y="0"/>
                      <a:ext cx="5486400" cy="568771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6587767, E 497316 i SWEREF 99 TM.</w:t>
      </w:r>
    </w:p>
    <w:p>
      <w:r>
        <w:t>I och inom 7 meter från avverkningsanmälan finns fynd av 5 naturvårdsarter, varav 2 är rödlistade, 4 är fridlysta och 4 är typiska (T): stjärntagging (NT, T), tretåig hackspett (NT, T, §4),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