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43148-2025 i Nora kommun</w:t>
      </w:r>
    </w:p>
    <w:p>
      <w:r>
        <w:t>Denna tillsynsbegäran behandlar höga naturvärden i avverkningsanmälan A 43148-2025 i Nora kommun som inkom 2025-09-10 och omfattar 5,5 ha.</w:t>
      </w:r>
    </w:p>
    <w:p>
      <w:pPr>
        <w:pStyle w:val="Caption"/>
      </w:pPr>
      <w:r>
        <w:drawing>
          <wp:inline xmlns:a="http://schemas.openxmlformats.org/drawingml/2006/main" xmlns:pic="http://schemas.openxmlformats.org/drawingml/2006/picture">
            <wp:extent cx="5486400" cy="4519210"/>
            <wp:docPr id="1" name="Picture 1"/>
            <wp:cNvGraphicFramePr>
              <a:graphicFrameLocks noChangeAspect="1"/>
            </wp:cNvGraphicFramePr>
            <a:graphic>
              <a:graphicData uri="http://schemas.openxmlformats.org/drawingml/2006/picture">
                <pic:pic>
                  <pic:nvPicPr>
                    <pic:cNvPr id="0" name="A 43148-2025 karta.png"/>
                    <pic:cNvPicPr/>
                  </pic:nvPicPr>
                  <pic:blipFill>
                    <a:blip r:embed="rId16"/>
                    <a:stretch>
                      <a:fillRect/>
                    </a:stretch>
                  </pic:blipFill>
                  <pic:spPr>
                    <a:xfrm>
                      <a:off x="0" y="0"/>
                      <a:ext cx="5486400" cy="45192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6596508, E 485494 i SWEREF 99 TM.</w:t>
      </w:r>
    </w:p>
    <w:p>
      <w:r>
        <w:t>I avverkningsanmälan finns fynd av 4 naturvårdsarter, varav 1 är fridlyst, 3 är typiska (T) och 2 är signalarter (S): hässleklocka (S, T), purpurknipprot (S, §8), hultbräken (T) och vitsippa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 xml:space="preserve">Hultbräken </w:t>
      </w:r>
      <w:r>
        <w:t xml:space="preserve">är typisk art för </w:t>
      </w:r>
      <w:r>
        <w:rPr>
          <w:i/>
        </w:rPr>
        <w:t xml:space="preserve">9050 Näringsrik granskog </w:t>
      </w:r>
      <w:r>
        <w:t>(SLU Artdatabanken, 2025).</w:t>
      </w:r>
    </w:p>
    <w:p>
      <w:r>
        <w:rPr>
          <w:b/>
        </w:rPr>
        <w:t>Vitsippa</w:t>
      </w:r>
      <w:r>
        <w:t xml:space="preserve"> är typisk art för </w:t>
      </w:r>
      <w:r>
        <w:rPr>
          <w:i/>
        </w:rPr>
        <w:t xml:space="preserve">9040 Fjällbjörkskog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