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220-2024 i Nora kommun</w:t>
      </w:r>
    </w:p>
    <w:p>
      <w:r>
        <w:t>Denna tillsynsbegäran behandlar höga naturvärden i samrådsanmälan S 220-2024 i Nora kommun som inkom 2024-01-25 och omfattar 305,1 ha.</w:t>
      </w:r>
    </w:p>
    <w:p>
      <w:pPr>
        <w:pStyle w:val="Caption"/>
      </w:pPr>
      <w:r>
        <w:drawing>
          <wp:inline xmlns:a="http://schemas.openxmlformats.org/drawingml/2006/main" xmlns:pic="http://schemas.openxmlformats.org/drawingml/2006/picture">
            <wp:extent cx="5103199" cy="5724000"/>
            <wp:docPr id="1" name="Picture 1"/>
            <wp:cNvGraphicFramePr>
              <a:graphicFrameLocks noChangeAspect="1"/>
            </wp:cNvGraphicFramePr>
            <a:graphic>
              <a:graphicData uri="http://schemas.openxmlformats.org/drawingml/2006/picture">
                <pic:pic>
                  <pic:nvPicPr>
                    <pic:cNvPr id="0" name="S 220-2024 karta.png"/>
                    <pic:cNvPicPr/>
                  </pic:nvPicPr>
                  <pic:blipFill>
                    <a:blip r:embed="rId16"/>
                    <a:stretch>
                      <a:fillRect/>
                    </a:stretch>
                  </pic:blipFill>
                  <pic:spPr>
                    <a:xfrm>
                      <a:off x="0" y="0"/>
                      <a:ext cx="5103199" cy="5724000"/>
                    </a:xfrm>
                    <a:prstGeom prst="rect"/>
                  </pic:spPr>
                </pic:pic>
              </a:graphicData>
            </a:graphic>
          </wp:inline>
        </w:drawing>
      </w:r>
    </w:p>
    <w:p>
      <w:pPr>
        <w:pStyle w:val="Caption"/>
        <w:spacing w:after="240"/>
      </w:pPr>
      <w:r>
        <w:t>Figur 1. Fyndplatser för naturvårdsarter i och inom 25 meter från samrådsanmälan. Markörer utan svart kant är placerade på fyndplatsen. Markörer med svart kant är placerade vid sidan av fyndplatsen och har ett svart streck som visar fyndplatsens exakta position. Kartans mittpunktskoordinat är N 6590426, E 492800 i SWEREF 99 TM.</w:t>
      </w:r>
    </w:p>
    <w:p>
      <w:r>
        <w:t>I och inom 25 meter från samrådsanmälan finns fynd av 68 naturvårdsarter, varav 35 är rödlistade, 17 är fridlysta, 23 är typiska (T) och 21 är signalarter (S): brödtaggsvamp (EN), raggtaggsvamp (EN), slät taggsvamp (EN), violgubbe (EN), brun gräsfjäril (VU, §4a), grangråticka (VU, T), gul taggsvamp (VU, T), kopparspindling (VU), läderdoftande fingersvamp (VU), stor odörspindling (VU), taggfingersvamp (VU), violettrandad spindling (VU), väddnätfjäril (VU, §6), barrviolspindling (NT), blek fingersvamp (NT), dofttaggsvamp (NT, T), dropptaggsvamp (NT, T), fjällig taggsvamp s.str. (NT), gelatinfingersvamp (NT), grantaggsvamp (NT), gultoppig fingersvamp (NT), kryddspindling (NT, T), orange taggsvamp (NT, T), rundfjädermossa (NT), rödvingetrast (NT, §4), skarp dropptaggsvamp (NT), svinrot (NT), såpfingersvamp (NT), talltita (NT, §4), tjockfotad fingersvamp (NT), vedtrappmossa (NT, T), vippärt (NT, T), vårärt (NT, T), äggspindling (NT), ängsstarr (NT), bronshjon (S, T), diskvaxskivling (S), dofttråding (S), grov baronmossa (S, T), grov fjädermossa (S, T), guldkremla (S), gulgrön kantmusseron (S), gulnande spindling (S), gulnål (S, T), klippfrullania (S, T), olivspindling (S), platt fjädermossa (S, T), purpurknipprot (S, §8), rävticka (S, T), rödgul trumpetsvamp (S), svart trolldruva (S, T), svavelriska (S), tibast (S, T), trubbfjädermossa (S, T), trädporella (S, T), underviol (S, T), blåsippa (T, §9), spillkråka (T, §4), kungsfågel (§4), större vattensalamander (§4a), utter (§4a), skogsödla (§6), vanlig groda (§6), vanlig padda (§6), käppkrokmossa (§8), lopplummer (aggregat) (§9), revlummer (§9) och äkta lopplummer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 xml:space="preserve">Brödtaggsvamp (EN) </w:t>
      </w:r>
      <w:r>
        <w:t>är en sällsynt och starkt hotad ”toppart” som växer i äldre barrskogar med gran, gärna i fuktiga sänkor eller skogar med hög luftfuktighet.  Svampen har en säregen doft som liknats vid lakrits, kakor eller pomerans. Den ingår i ett åtgärdsprogram för hotade arter (ÅGP) och är placerad högst upp i Skogsstyrelsens värdepyramid för bedömning av skog med höga naturvärden. Arten tål inte en slutavverkning utan kräver ett kontinuerligt äldre trädskikt med gran. Äldre barrskogar med basisk påverkan och lång kontinuitet, även små områden, har ett mycket högt skyddsvärde och bör i största möjliga utsträckning undantas från trakthyggesbruk. Slutavverkning, kraftig gallring och skogsmarksgödsling måste helt undvikas, liksom körning med tunga maskiner. Lokalerna bör bevakas, följas upp och skyddas formellt. Brödtaggsvamp är globalt rödlistad som nära hotad (NT) vilket innebär att Sverige har ett internationellt ansvar för arten (IUCN, 2025; SLU Artdatabanken, 2026; Nitare &amp; Skogsstyrelsen, 2019).</w:t>
      </w:r>
    </w:p>
    <w:p>
      <w:r>
        <w:rPr>
          <w:b/>
        </w:rPr>
        <w:t>Raggtaggsvamp (EN)</w:t>
      </w:r>
      <w:r>
        <w:t xml:space="preserve"> är en sällsynt och nationellt starkt hotad art som är knuten till gamla mossiga och örtrika kalkgranskogar med långvarig grankontinuitet. En ”toppart” som alltid indikerar starkt skyddsvärda kalkgranskogar. Raggtaggsvamp år globalt rödlistad som sårbar (VU) och Sverige har en betydande andel av den kända världspopulationen vilket innebär ett internationellt ansvar för arten. Arten försvinner vid slutavverkning vilket utgör det enskilt största hotet. (SLU Artdatabanken, 2024; Nitare &amp; Skogsstyrelsen, 2019; IUCN, 2015).</w:t>
      </w:r>
    </w:p>
    <w:p>
      <w:r>
        <w:rPr>
          <w:b/>
        </w:rPr>
        <w:t xml:space="preserve">Slät taggsvamp (EN) </w:t>
      </w:r>
      <w:r>
        <w:t>är en starkt hotad ”toppart” knuten till gammal tall på kalkrik mark. Den ingår i ett åtgärdsprogram för hotade arter (ÅGP) och är placerad högst upp i Skogsstyrelsens värdepyramid för bedömning av skog med höga naturvärden. Den totala populationen i landet är liten och bedöms ha minskat kraftigt, huvudsakligen p.g.a. slutavverkning av äldre kalkbarrskogar. Slät taggsvamp är globalt rödlistad som nära hotad (NT) vilket innebär att Sverige har ett internationellt ansvar för arten (SLU Artdatabanken, 2024; Nitare &amp; Skogsstyrelsen, 2019; IUCN, 2019).</w:t>
      </w:r>
    </w:p>
    <w:p>
      <w:r>
        <w:rPr>
          <w:b/>
        </w:rPr>
        <w:t>Violgubbe (EN)</w:t>
      </w:r>
      <w:r>
        <w:t xml:space="preserve"> är en starkt hotad art som bildar mykorrhiza med gran och bok och ev. andra trädslag i äldre ängsgran- och ängsbokskog med lång kontinuitet, främst på kalkrik mark. Arten är placerad högst upp i Skogsstyrelsens värdepyramid för bedömning av skog med höga naturvärden och indikerar alltid skogsområden med höga naturvärden. Det största hotet mot arten är skogsavverkning och den omfattas av ett åtgärdsprogram för hotade arter (ÅGP). Violgubben överlever inte en slutavverkning och verkar dessutom ha svårt att etablera sig i yngre skogsbestånd (SLU Artdatabanken, 2026; Nitare &amp; Skogsstyrelsen, 2019; Aronsson, 2006).</w:t>
      </w:r>
    </w:p>
    <w:p>
      <w:r>
        <w:rPr>
          <w:b/>
        </w:rPr>
        <w:t>Grangråticka (VU)</w:t>
      </w:r>
      <w:r>
        <w:t xml:space="preserve"> bildar mykorrhiza med gran och påträffas på kalkrik mark i örtrika granskogar med t.ex. blåsippa, harsyra och ekorrbär i fältskiktet. Arten är beroende av långvarig kontinuitet av äldre gran och tål ingen slutavverkning (kalhuggning). Lokaler med grangråticka är alltid skyddsvärda och bör skötas med stor varsamhet. Grangråticka är typisk art för </w:t>
      </w:r>
      <w:r>
        <w:rPr>
          <w:i/>
        </w:rPr>
        <w:t>9050 Näringsrik granskog</w:t>
      </w:r>
      <w:r>
        <w:t xml:space="preserve"> (SLU Artdatabanken, 2024; Nitare &amp; Skogsstyrelsen, 2019).</w:t>
      </w:r>
    </w:p>
    <w:p>
      <w:r>
        <w:rPr>
          <w:b/>
        </w:rPr>
        <w:t xml:space="preserve">Gul taggsvamp (VU) </w:t>
      </w:r>
      <w:r>
        <w:t xml:space="preserve">bildar mykorrhiza med gran i äldre barrskog med lång kontinuitet. Förekommer på kalkrik eller annan basiskt påverkad mark, ofta i källpåverkade miljöer. Den totala populationen i landet har minskat kraftigt och bedöms fortsätta minska till följd av avverkning av äldre barrskog med lång trädkontinuitet. Minskningstakten överstiger gränsvärdet för sårbar (VU). Arten tål inte en slutavverkning utan kräver ett kontinuerligt äldre trädskikt med gran. Slutavverkning, kraftig gallring och skogsmarksgödsling måste helt undvikas och lokalerna bör skyddas formellt. Gul taggsvamp är typisk art för </w:t>
      </w:r>
      <w:r>
        <w:rPr>
          <w:i/>
        </w:rPr>
        <w:t>9050 Näringsrik granskog</w:t>
      </w:r>
      <w:r>
        <w:t xml:space="preserve"> (SLU Artdatabanken, 2026).</w:t>
      </w:r>
    </w:p>
    <w:p>
      <w:r>
        <w:rPr>
          <w:b/>
        </w:rPr>
        <w:t xml:space="preserve">Kopparspindling (VU) </w:t>
      </w:r>
      <w:r>
        <w:t>bildar mykorrhiza med tall och gran i äldre ängsgranskog på kalkrik mark, mer sällan i ren kalktallskog.</w:t>
      </w:r>
      <w:r>
        <w:rPr>
          <w:b/>
        </w:rPr>
        <w:t xml:space="preserve"> </w:t>
      </w:r>
      <w:r>
        <w:t>Minskningstakten uppgår till 30 % inom 50 år och överstiger gränsvärdet för Sårbar (VU) enligt A-kriteriet. (A2c+3c+4c).</w:t>
      </w:r>
      <w:r>
        <w:rPr>
          <w:b/>
        </w:rPr>
        <w:t xml:space="preserve"> </w:t>
      </w:r>
      <w:r>
        <w:t>Intensivt skogsbruk, särskilt kalavverkning och markberedning missgynnar arten och lokaler som även hyser ett stort antal andra hotade arter bör helt undantas från skogsbruk.</w:t>
      </w:r>
      <w:r>
        <w:rPr>
          <w:b/>
        </w:rPr>
        <w:t xml:space="preserve"> </w:t>
      </w:r>
      <w:r>
        <w:t>Kopparspindling är globalt rödlistad som nära hotad (NT) vilket innebär att Sverige har ett internationellt ansvar för arten (SLU Artdatabanken, 2024; IUCN, 2015).</w:t>
      </w:r>
    </w:p>
    <w:p>
      <w:r>
        <w:rPr>
          <w:b/>
        </w:rPr>
        <w:t xml:space="preserve">Läderdoftande fingersvamp (VU) </w:t>
      </w:r>
      <w:r>
        <w:t>bildar mykorrhiza med gran i örtrik äldre barrskog, ofta på kalkrik mark. Den har en speciell doft som kan påminna om nytt skoläder (skoaffär), därav det svenska namnet. Den totala populationen i landet bedöms ändå ha minskat starkt och fortsatt kommer att minska då arten är knuten till en bördig äldre kalkgranskogsmiljö som successivt avverkas och där få områden alltjämt är formellt skyddade. All form av hårdhänt skogsavverkning på eller i närheten av växtplatsen missgynnar arten. Artens huvudsakliga koppling till produktiva äldre granskogar med hög bonitet gör den särskilt utsatt för slutavverkning. Samtliga lokaler bör undantas från rationellt skogsbruk och få ett områdesskydd (SLU Artdatabanken, 2024; Nitare &amp; Skogsstyrelsen, 2019).</w:t>
      </w:r>
    </w:p>
    <w:p>
      <w:r>
        <w:rPr>
          <w:b/>
        </w:rPr>
        <w:t xml:space="preserve">Stor odörspindling (VU) </w:t>
      </w:r>
      <w:r>
        <w:t>bildar mykorrhiza med tall och gran i kalktallskog och ängsgranskog, främst i äldre kalkbarrskog. En fortlöpande minskning bedöms pågå p.g.a. slutavverkningar av äldre kontinuitetsbarrskog. Har uppenbart svårt att återetableras efter avverkning. Kända växtplatser bör inte utsättas för omfattande huggningar eller andra kraftiga störningar som förändrar miljön (SLU Artdatabanken, 2025).</w:t>
      </w:r>
    </w:p>
    <w:p>
      <w:r>
        <w:rPr>
          <w:b/>
        </w:rPr>
        <w:t xml:space="preserve">Taggfingersvamp (VU) </w:t>
      </w:r>
      <w:r>
        <w:t>är knuten till granskogar med långvarig kontinuitet och bildar mykorrhiza med gran på rikare mark. Den totala populationen i landet bedöms ha minskat kraftigt och fortgående att minska, huvudsakligen p.g.a. att arealen örtrik äldre granskog har minskat de senaste 50 åren. Den hotas främst av skogsavverkning och tycks försvinna efter slutavverkning, markberedning och plantering och det saknas uppgifter om fynd i planterad skog eller sekundär granskog uppkommen på kalmark. Taggfingersvamp är placerad högst upp i Skogsstyrelsens värdepyramid för bedömning av skog med höga naturvärden. Områdesskydd är en viktig åtgärd för att bevara artens förekomster (SLU Artdatabanken, 2024; Nitare &amp; Skogsstyrelsen, 2019).</w:t>
      </w:r>
    </w:p>
    <w:p>
      <w:r>
        <w:rPr>
          <w:b/>
        </w:rPr>
        <w:t>Violettrandad spindling (VU)</w:t>
      </w:r>
      <w:r>
        <w:t xml:space="preserve"> är en sällsynt barrskogsart som bildar mykorrhiza med tall, i kalktallskog och lavtallskog på kalkrik mark. Intensivt skogsbruk med kalavverkning, markberedning etc. minskar artens möjligheter att överleva och dess minskningstakt uppgår till 30 % inom 50 år och överstiger gränsvärdet för Sårbar (VU). Violettrandad spindling är placerad högst upp i Skogsstyrelsens värdepyramid för bedömning av skog med höga naturvärden och på artens kända växtplatser bör avverkning undvikas (SLU Artdatabanken, 2024; Nitare &amp; Skogsstyrelsen, 2019).</w:t>
      </w:r>
    </w:p>
    <w:p>
      <w:r>
        <w:rPr>
          <w:b/>
        </w:rPr>
        <w:t>Barrviolspindling (NT)</w:t>
      </w:r>
      <w:r>
        <w:t xml:space="preserve"> bildar mykorrhiza med gran, huvudsakligen i örtrika kalkpåverkade äldre granskogar. Arten är sannolikt uttorkningskänslig och knuten till granskogar med långvarig grankontinuitet. Den hotas främst av skogsavverkning och tycks försvinna efter slutavverkning, markberedning och plantering. Minskningstakten uppgår till 15 % inom 50 år och bedöms vara nära gränsvärdet för Sårbar (VU). (A2c+3c+4c) (SLU Artdatabanken, 2024; Nitare &amp; Skogsstyrelsen, 2019).</w:t>
      </w:r>
    </w:p>
    <w:p>
      <w:r>
        <w:rPr>
          <w:b/>
        </w:rPr>
        <w:t xml:space="preserve">Blek fingersvamp (NT) </w:t>
      </w:r>
      <w:r>
        <w:t>bildar mykorrhiza med dels gran i ängsgranskog men även under bok, ek och avenbok i ädellövskog. Arten är känslig för olika skogsbruksåtgärder och därför på tillbakagång såväl i Sverige som i andra europeiska länder. Arten hotas främst av slutavverkning och andra skogsbruksåtgärder. Arten tål inte en slutavverkning och sannolikt inte heller en kraftig gallring. Skogsområden med arten bör undantas från storskaligt skogsbruk. Slutavverkning, kraftig gallring och skogsgödsling måste helt undvikas, liksom körning med tunga maskiner (SLU Artdatabanken, 2024; Nitare &amp; Skogsstyrelsen, 2019).</w:t>
      </w:r>
    </w:p>
    <w:p>
      <w:r>
        <w:rPr>
          <w:b/>
        </w:rPr>
        <w:t xml:space="preserve">Dofttaggsvamp (NT) </w:t>
      </w:r>
      <w:r>
        <w:t xml:space="preserve">bildar mykorrhiza med gran i framför allt äldre ängsgranskog eller örtrik granskog av frisk lågörttyp. Arten hotas huvudsakligen av slutavverkning och den överlever sannolikt inte en avverkning eftersom den är beroende de levande barrträdens rötter. Troligen missgynnas den av allt för hård gallring eller plockhuggning om huggningen inte efterföljs av skogsbete. Fler örtrika barrskogar, särskilt de med trädkontinuitet, måste skyddas i större utsträckning än vad som tidigare gjorts. Dofttaggsvamp är typisk art för </w:t>
      </w:r>
      <w:r>
        <w:rPr>
          <w:i/>
        </w:rPr>
        <w:t>9050 Näringsrik granskog</w:t>
      </w:r>
      <w:r>
        <w:t xml:space="preserve"> (SLU Artdatabanken, 2024).</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Fjällig taggsvamp s.str. (NT)</w:t>
      </w:r>
      <w:r>
        <w:t xml:space="preserve"> bildar mykorrhiza med gran i granskog och barrblandskog, främst på frisk näringsrik mark i äldre skog med lång trädkontinuitet. Den totala populationen i landet har minskat och bedöms fortsätta minska till följd av avverkning av äldre barrskogar. Minskningstakten för den svenska populationen bedöms vara nära gränsvärdet för sårbar (VU) (SLU Artdatabanken, 2026).</w:t>
      </w:r>
    </w:p>
    <w:p>
      <w:r>
        <w:rPr>
          <w:b/>
        </w:rPr>
        <w:t xml:space="preserve">Gelatinfingersvamp (NT) </w:t>
      </w:r>
      <w:r>
        <w:t>bildar mykorrhiza med tall, främst i äldre sandtallskog men ibland även i grandominerad, rikare barrblandskog. Arten hotas främst av slutavverkning och andra skogsbruksåtgärder. Den tål inte en slutavverkning och sannolikt inte heller en kraftig gallring. Arten är placerad högst upp i Skogsstyrelsens värdepyramid för bedömning av skog med höga naturvärden och skogsområden med arten bör undantas från rationellt skogsbruk. Slutavverkning, kraftig gallring och skogsgödsling måste helt undvikas, liksom körning med tunga maskiner (SLU Artdatabanken, 2026; Nitare &amp; Skogsstyrelsen, 2019).</w:t>
      </w:r>
    </w:p>
    <w:p>
      <w:r>
        <w:rPr>
          <w:b/>
        </w:rPr>
        <w:t xml:space="preserve">Grantaggsvamp (NT) </w:t>
      </w:r>
      <w:r>
        <w:t>påträffas främst i mossiga och örtrika äldre granskogar på kalkrik mark i något fuktiga lägen, och i norr även i mager tallskog med lång kontinuitet. Arten missgynnas generellt av trakthyggesbruket och en långsiktig tillgång till värdträd bör säkras genom att man undviker att avverka kända växtplatser (SLU Artdatabanken, 2024).</w:t>
      </w:r>
    </w:p>
    <w:p>
      <w:r>
        <w:rPr>
          <w:b/>
        </w:rPr>
        <w:t>Gultoppig fingersvamp (NT)</w:t>
      </w:r>
      <w:r>
        <w:t xml:space="preserve"> bildar mykorrhiza med gran i örtrik äldre barrskog. Den är något kalkgynnad och föredrar bördiga granskogar av lågörtstyp. Svampen hotas främst av skogsavverkning och tycks försvinna efter slutavverkning, markberedning och plantering. Skogsområden med arten bör undantas från storskaligt skogsbruk. Slutavverkning, kraftig gallring och skogsgödsling måste undvikas, liksom körning med tunga maskiner (SLU Artdatabanken, 2024).</w:t>
      </w:r>
    </w:p>
    <w:p>
      <w:r>
        <w:rPr>
          <w:b/>
        </w:rPr>
        <w:t>Kryddspindling (NT)</w:t>
      </w:r>
      <w:r>
        <w:t xml:space="preserve"> signalerar örtrika granskogar som normalt har höga naturvärden. Oftast växer den i äldre granskog på kalkrikt underlag och svampen är en mycket användbar signalart för denna miljö. Den utgör en viktig karaktärsart för all äldre kalkbarrskog med lång trädkontinuitet av gran. På lokalerna förekommer nästan alltid många ovanliga och rödlistade arter. Den totala populationen i landet har minskat och bedöms fortsätta minska till följd av avverkning av äldre barrskogar. Kryddspindling är typisk art för </w:t>
      </w:r>
      <w:r>
        <w:rPr>
          <w:i/>
        </w:rPr>
        <w:t xml:space="preserve">9050 Näringsrik granskog </w:t>
      </w:r>
      <w:r>
        <w:t>(Nitare &amp; Skogsstyrelsen, 2000; SLU Artdatabanken, 2026).</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Rundfjädermossa (NT)</w:t>
      </w:r>
      <w:r>
        <w:t xml:space="preserve"> förekommer på kalkrika bergarter i bergbranter och blockmark, oftast inne i grottor och skrevor samt under större block i skogsmark. Avverkning av expositionsskyddande träd och buskar utgör ett allvarligt hot. På kända lokaler får ingen avverkning eller exploatering ske (SLU Artdatabanken, 2024).</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p>
      <w:r>
        <w:rPr>
          <w:b/>
        </w:rPr>
        <w:t xml:space="preserve">Såpfingersvamp (NT) </w:t>
      </w:r>
      <w:r>
        <w:t>är en sällsynt ”toppart” som bildar mykorrhiza med gran i kalkbarrskog, sällsynt även med ek, hassel och bok i kalkrik ädellövskog. Status i landet något oklar men eftersökt och uppenbarligen mycket ovanlig och med liten förekomstarea. All form av skogsavverkning i eller i närheten av växtplatsen som kan påverka lokalens mikroklimat utgör ett hot. Växtplatserna bör skyddas och arten bör eftersökas på nya lokaler i såväl kalkgranskogar som rika ädellövskogar i södra Sverige. Såpfingersvamp är placerad högst upp i Skogsstyrelsens värdepyramid för bedömning av skog med höga naturvärden (SLU Artdatabanken, 2024;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 xml:space="preserve">Tjockfotad fingersvamp (NT) </w:t>
      </w:r>
      <w:r>
        <w:t>bildar mykorrhiza med gran, eventuellt även med tall, i örtrika kalkbarrskogar, samt med bok och ek i ädellövskog på kalkrik mark. Den totala populationen i landet bedöms ha minskat under de senaste 50 åren och förväntas fortsätta minska, främst på grund av slutavverkning av äldre barrskog. Minskningstakten för den svenska populationen bedöms vara nära gränsvärdet för sårbar (VU). Slutavverkning, gödsling eller exploatering måste undvikas (SLU Artdatabanken, 2026).</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 xml:space="preserve">Vippärt (NT) </w:t>
      </w:r>
      <w:r>
        <w:t xml:space="preserve">är en kalkgynnad, värmeälskande växt som påträffas i olika ljusöppna rika ädellövskogar och lundar. Ofta växer den i bryn och sydvända sluttningar, gärna på blockrika marker och visar på skydddsvärda skogsmiljöer med långvarig kontinuitet, såväl i rika ädellövskogar som kalkbarrskogar. På blad av främst gökärt men även på vippärt kan den rödlistade fjärilen snedsträckad gökärtsmal (NT) påträffas. Fjärilens larver gör stora, undersidiga blåsminor i bladen av värdväxten. Bladen buktar därmed starkt och är marmorerade på ovansidan, medan minans undersida är silvervit. Fjärilens kokong är ockragul och fäst vid något föremål på marken. Vippärt är typisk art för </w:t>
      </w:r>
      <w:r>
        <w:rPr>
          <w:i/>
        </w:rPr>
        <w:t>9060 Åsbarrskog</w:t>
      </w:r>
      <w:r>
        <w:t xml:space="preserve"> och </w:t>
      </w:r>
      <w:r>
        <w:rPr>
          <w:i/>
        </w:rPr>
        <w:t>1610 Åsöar i Östersjön</w:t>
      </w:r>
      <w:r>
        <w:t xml:space="preserve"> (Nitare &amp; Skogsstyrelsen, 2019; SLU Artdatabanken, 2026).</w:t>
      </w:r>
    </w:p>
    <w:p>
      <w:r>
        <w:rPr>
          <w:b/>
        </w:rPr>
        <w:t>Vårärt (NT)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storskaliga skogsbruksmetoder och den kommer in på rödlistan för första gången 2025 till följd av en kraftig minskning (&gt;50%) i Riksskogstaxeringens data. Vårärt är typisk art för </w:t>
      </w:r>
      <w:r>
        <w:rPr>
          <w:i/>
        </w:rPr>
        <w:t xml:space="preserve">9050 Näringsrik granskog, 9020 Nordlig ädellövskog, 9160 Näringsrik ekskog </w:t>
      </w:r>
      <w:r>
        <w:t xml:space="preserve">och </w:t>
      </w:r>
      <w:r>
        <w:rPr>
          <w:i/>
        </w:rPr>
        <w:t>9180 Ädellövskog i branter</w:t>
      </w:r>
      <w:r>
        <w:t xml:space="preserve"> (Nitare &amp; Skogsstyrelsen, 2019; SLU Artdatabanken, 2026).</w:t>
      </w:r>
    </w:p>
    <w:p>
      <w:r>
        <w:rPr>
          <w:b/>
        </w:rPr>
        <w:t xml:space="preserve">Äggspindling (NT) </w:t>
      </w:r>
      <w:r>
        <w:t>bildar mykorrhiza med gran i äldre ängsgranskog på kalkrik mark och kräver sannolikt lång kontinuitet av äldre träd. Arten bedöms ha minskat med mer än 15 % över de senaste 50 åren, p.g.a. slutavverkning av äldre skog och minskningstakten för den svenska populationen bedöms vara nära gränsvärdet för Sårbar (VU). (A2c+3c+4c). På artens växtplatser måste skogsbruk ske med stor försiktighet eftersom de ofta innehåller ett stort antal sällsynta och hotade arter. Lokaler med rika förekomster bör betraktas som nyckelbiotoper och helt undantas från avverkning. Äggspindling är globalt rödlistad som nära hotad (NT) vilket innebär att Sverige har ett internationellt ansvar för arten (SLU Artdatabanken, 2024; Nitare &amp; Skogsstyrelsen, 2019; IUCN, 2019).</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Grov baronmossa</w:t>
      </w:r>
      <w:r>
        <w:t xml:space="preserve"> är näringskrävande och kalkgynnad. Den växer mest i skuggig skogsmiljö, antingen i ädellövskog eller i bergbranter på relativt torra, men beskuggade bergväggar och block av basiska bergarter. Den växer även vid basen av solitära eller halvöppet stående gamla ädellövträd, bland annat på mycket gamla ekar och lindar, men också på ask, lönn, bok och alm. Grov baronmossa är typisk art för </w:t>
      </w:r>
      <w:r>
        <w:rPr>
          <w:i/>
        </w:rPr>
        <w:t xml:space="preserve">9020 Nordlig ädellövskog, 9130 Näringsrik bokskog, 9160 Näringsrik ekskog </w:t>
      </w:r>
      <w:r>
        <w:t>och</w:t>
      </w:r>
      <w:r>
        <w:rPr>
          <w:i/>
        </w:rPr>
        <w:t xml:space="preserve"> 9180 Ädellövskog i branter</w:t>
      </w:r>
      <w:r>
        <w:t xml:space="preserve"> (Nitare &amp; Skogsstyrelsen, 2019; SLU Artdatabanken, 2025).</w:t>
      </w:r>
    </w:p>
    <w:p>
      <w:r>
        <w:rPr>
          <w:b/>
        </w:rPr>
        <w:t xml:space="preserve">Grov fjädermossa </w:t>
      </w:r>
      <w:r>
        <w:t xml:space="preserve">påträffas i gammal ädellövskog och på kalkrika bergväggar i äldre barrskog. Arten är placerad högst upp i Skogsstyrelsens värdepyramid för bedömning av skog med höga naturvärden och visar på lokaler som haft lång trädkontinuitet och stabilt mikroklimat. Grov fjädermossa är typisk art för </w:t>
      </w:r>
      <w:r>
        <w:rPr>
          <w:i/>
        </w:rPr>
        <w:t>9020 Nordlig ädellövskog, 9110 Näringsfattig bokskog, 9130 Näringsrik bokskog, 9160 Näringsrik ekskog, 9180 Ädellövskog i branter</w:t>
      </w:r>
      <w:r>
        <w:t xml:space="preserve"> och </w:t>
      </w:r>
      <w:r>
        <w:rPr>
          <w:i/>
        </w:rPr>
        <w:t>9190 Näringsfattig ekskog</w:t>
      </w:r>
      <w:r>
        <w:t xml:space="preserve"> (Nitare &amp; Skogsstyrelsen, 2019; SLU Artdatabanken, 2025).</w:t>
      </w:r>
    </w:p>
    <w:p>
      <w:r>
        <w:rPr>
          <w:b/>
        </w:rPr>
        <w:t>Gulnande spindling</w:t>
      </w:r>
      <w:r>
        <w:t xml:space="preserve"> signalerar gammal hedekskog och hedbokskog med höga naturvärden i sydvästra Sverige. Arten har en starkt begränsad utbredning som gör att den främst är användbar som signalart i nordvästra Götaland. Den signalerar här också höga naturvärden i äldre naturlig granskog som ligger inom ett smalt bälte i anslutning till granens spontana västgräns. Arten är knuten till humida löv- och barrskogar vilka troligen har lång trädkontinuitet och den tål inte slutavverkning (Nitare &amp; Skogsstyrelsen, 2019).</w:t>
      </w:r>
    </w:p>
    <w:p>
      <w:r>
        <w:rPr>
          <w:b/>
        </w:rPr>
        <w:t>Gulnål</w:t>
      </w:r>
      <w:r>
        <w:t xml:space="preserve"> växer mest på murknande lövträdsved och barrträdsved och förekommer i skuggiga miljöer med hög luftfuktighet. I södra Sverige är den en relativt bra signal på biotoper med höga naturvärden och följs ofta av sällsynta arter. Gulnål är typisk art för </w:t>
      </w:r>
      <w:r>
        <w:rPr>
          <w:i/>
        </w:rPr>
        <w:t>9110 Näringsfattig bokskog</w:t>
      </w:r>
      <w:r>
        <w:t xml:space="preserve"> och</w:t>
      </w:r>
      <w:r>
        <w:rPr>
          <w:i/>
        </w:rPr>
        <w:t xml:space="preserve"> 9130 Näringsrik bokskog </w:t>
      </w:r>
      <w:r>
        <w:t>(Nitare &amp; Skogsstyrelsen, 2019; SLU Artdatabanken, 2025).</w:t>
      </w:r>
    </w:p>
    <w:p>
      <w:r>
        <w:rPr>
          <w:b/>
        </w:rPr>
        <w:t>Klippfrullania</w:t>
      </w:r>
      <w:r>
        <w:t xml:space="preserve"> är i centrala, östra och norra Sverige en bra signalart. Den påträffas där i skyddsvärda skogsmiljöer med lång kontinuitet av gamla träd i halvöppen terräng, samt trädklädda bergbranter med ett mikroklimat som har konstant hög och jämn luftfuktighet året om. Klippfrullania är typisk art för </w:t>
      </w:r>
      <w:r>
        <w:rPr>
          <w:i/>
        </w:rPr>
        <w:t xml:space="preserve">9020 Nordlig ädellövskog, 9110 Näringsfattig bokskog, 9130 Näringsrik bokskog, 9160 Näringsrik ekskog, 9180 Ädellövskog i branter </w:t>
      </w:r>
      <w:r>
        <w:t xml:space="preserve">och </w:t>
      </w:r>
      <w:r>
        <w:rPr>
          <w:i/>
        </w:rPr>
        <w:t xml:space="preserve">9190 Näringsfattig ekskog </w:t>
      </w:r>
      <w:r>
        <w:t>(Nitare &amp; Skogsstyrelsen, 2019; SLU Artdatabanken, 2025).</w:t>
      </w:r>
    </w:p>
    <w:p>
      <w:r>
        <w:rPr>
          <w:b/>
        </w:rPr>
        <w:t>Olivspindling</w:t>
      </w:r>
      <w:r>
        <w:t xml:space="preserve"> växer uteslutande på näringsrik och kalkhaltig skogsmark där den huvudsakligen bildar mykorrhiza med gran och tall. Svampen är en typisk representant för kalkgranskogens särpräglade och rika svampflora. Kalavverkning är ett hot mot arten, eftersom den sannolikt kräver lång kontinuitet av äldre träd. Populationerna i landet bedöms därför minska beroende på slutavverkning av äldre barrskog på kalkhaltig mark (SLU Artdatabanken, 2024; Nitare &amp; Skogsstyrelsen, 2019).</w:t>
      </w:r>
    </w:p>
    <w:p>
      <w:r>
        <w:rPr>
          <w:b/>
        </w:rPr>
        <w:t xml:space="preserve">Platt fjädermossa </w:t>
      </w:r>
      <w:r>
        <w:t>växer på såväl trädstammar (särskilt bok och andra ädla lövträd) som klippor (helst basiska bergarter). Norrut förekommer den endast på basiska klippor. Rika förekomster och fynd med sporkapslar indikerar höga naturvärden och en artrik mossbiotop.</w:t>
      </w:r>
      <w:r>
        <w:rPr>
          <w:b/>
        </w:rPr>
        <w:t xml:space="preserve"> </w:t>
      </w:r>
      <w:r>
        <w:t xml:space="preserve">Platt fjädermossa är typisk art för </w:t>
      </w:r>
      <w:r>
        <w:rPr>
          <w:i/>
        </w:rPr>
        <w:t>9010 Taiga,</w:t>
      </w:r>
      <w:r>
        <w:t xml:space="preserve"> </w:t>
      </w:r>
      <w:r>
        <w:rPr>
          <w:i/>
        </w:rPr>
        <w:t>9020 Nordlig ädellövskog, 9110 Näringsfattig bokskog, 9130 Näringsrik bokskog, 9160 Näringsrik ekskog, 9180 Ädellövskog i branter</w:t>
      </w:r>
      <w:r>
        <w:t xml:space="preserve"> och</w:t>
      </w:r>
      <w:r>
        <w:rPr>
          <w:i/>
        </w:rPr>
        <w:t xml:space="preserve"> 9190 Näringsfattig ekskog </w:t>
      </w:r>
      <w:r>
        <w:t>(Nitare &amp; Skogsstyrelsen, 2019; SLU Artdatabanken, 2025).</w:t>
      </w:r>
    </w:p>
    <w:p>
      <w:r>
        <w:rPr>
          <w:b/>
        </w:rPr>
        <w:t>Rävticka</w:t>
      </w:r>
      <w:r>
        <w:t xml:space="preserve"> är typisk art för </w:t>
      </w:r>
      <w:r>
        <w:rPr>
          <w:i/>
        </w:rPr>
        <w:t xml:space="preserve">9010 Taiga </w:t>
      </w:r>
      <w:r>
        <w:t>(SLU Artdatabanken, 2025).</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Svart trolldruva är typisk art för </w:t>
      </w:r>
      <w:r>
        <w:rPr>
          <w:i/>
        </w:rPr>
        <w:t>9050 Näringsrik granskog,</w:t>
      </w:r>
      <w:r>
        <w:t xml:space="preserve"> </w:t>
      </w:r>
      <w:r>
        <w:rPr>
          <w:i/>
        </w:rPr>
        <w:t xml:space="preserve">9020 Nordlig ädellövskog, 9160 Näringsrik ekskog, 9180 Ädellövskog i branter </w:t>
      </w:r>
      <w:r>
        <w:t>och</w:t>
      </w:r>
      <w:r>
        <w:rPr>
          <w:i/>
        </w:rPr>
        <w:t xml:space="preserve"> 1610 Åsöar i Östersjön</w:t>
      </w:r>
      <w:r>
        <w:t xml:space="preserve"> (SLU Artdatabanken, 2024; Nitare &amp; Skogsstyrelsen, 2019).</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p>
      <w:r>
        <w:rPr>
          <w:b/>
        </w:rPr>
        <w:t>Trubbfjädermossa</w:t>
      </w:r>
      <w:r>
        <w:t xml:space="preserve"> signalerar vanligtvis skog med höga naturvärden och den växer på något skuggade block eller trädbaser, oftast nära marken, eller på jord intill vattendrag. Den trivs bäst i ädellövskog och förekommer ofta tillsammans med baronmossor </w:t>
      </w:r>
      <w:r>
        <w:rPr>
          <w:i/>
        </w:rPr>
        <w:t>Anomodon</w:t>
      </w:r>
      <w:r>
        <w:t xml:space="preserve"> och fjädermossor</w:t>
      </w:r>
      <w:r>
        <w:rPr>
          <w:i/>
        </w:rPr>
        <w:t xml:space="preserve"> Neckera</w:t>
      </w:r>
      <w:r>
        <w:t xml:space="preserve">. Trubbfjädermossa är typisk art för </w:t>
      </w:r>
      <w:r>
        <w:rPr>
          <w:i/>
        </w:rPr>
        <w:t>9020 Nordlig ädellövskog,</w:t>
      </w:r>
      <w:r>
        <w:t xml:space="preserve"> </w:t>
      </w:r>
      <w:r>
        <w:rPr>
          <w:i/>
        </w:rPr>
        <w:t xml:space="preserve">9080 Lövsumpskog, 9750 Svämlövskog, 9110 Näringsfattig bokskog, 9130 Näringsrik bokskog </w:t>
      </w:r>
      <w:r>
        <w:t xml:space="preserve">och </w:t>
      </w:r>
      <w:r>
        <w:rPr>
          <w:i/>
        </w:rPr>
        <w:t xml:space="preserve">9760 Svämädellövskog </w:t>
      </w:r>
      <w:r>
        <w:t>(Nitare &amp; Skogsstyrelsen, 2019; SLU Artdatabanken, 2025).</w:t>
      </w:r>
    </w:p>
    <w:p>
      <w:r>
        <w:rPr>
          <w:b/>
        </w:rPr>
        <w:t xml:space="preserve">Trädporella </w:t>
      </w:r>
      <w:r>
        <w:t xml:space="preserve">är i stora delar av landet en utmärkt signal på skog med höga naturvärden och ofta påträffas många ovanliga och rödlistade arter på dess lokaler. Den växer huvudsakligen på grova ädellövträd i skuggiga och fuktiga miljöer, främst i slutna ädellövskogar och bergbranter med inslag av kalk- eller grönsten. Trädporella är typisk art för </w:t>
      </w:r>
      <w:r>
        <w:rPr>
          <w:i/>
        </w:rPr>
        <w:t xml:space="preserve">9020 Nordlig ädellövskog, 9110 Näringsfattig bokskog, 9130 Näringsrik bokskog, 9160 Näringsrik ekskog, 9180 Ädellövskog i branter </w:t>
      </w:r>
      <w:r>
        <w:t xml:space="preserve">och </w:t>
      </w:r>
      <w:r>
        <w:rPr>
          <w:i/>
        </w:rPr>
        <w:t xml:space="preserve">9190 Näringsfattig ekskog </w:t>
      </w:r>
      <w:r>
        <w:t>(Nitare &amp; Skogsstyrelsen, 2019; SLU Artdatabanken, 2025).</w:t>
      </w:r>
    </w:p>
    <w:p>
      <w:r>
        <w:rPr>
          <w:b/>
        </w:rPr>
        <w:t xml:space="preserve">Underviol </w:t>
      </w:r>
      <w:r>
        <w:t xml:space="preserve">är en bra signalart i hela sitt utbredningsområde i såväl lövlundar som kalkbarrskogar. Arten är särskilt intressant när den förekommer i barrskog och indikerar då troligen relikta och hotade kalkbarrskogsekosystem. Underviol tål inte dagens storskaliga skogsbruksmetoder även om den vid enstaka tillfällen lyckas kvarstå i fuktdråg efter avverkning. Underviol är typisk art för </w:t>
      </w:r>
      <w:r>
        <w:rPr>
          <w:i/>
        </w:rPr>
        <w:t xml:space="preserve">9050 Näringsrik granskog, 9020 Nordlig ädellövskog </w:t>
      </w:r>
      <w:r>
        <w:t xml:space="preserve">och </w:t>
      </w:r>
      <w:r>
        <w:rPr>
          <w:i/>
        </w:rPr>
        <w:t>9160 Näringsrik ekskog</w:t>
      </w:r>
      <w:r>
        <w:t xml:space="preserve"> (Nitare &amp; Skogsstyrelsen, 2019; SLU Artdatabanken, 2024).</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 xml:space="preserve">Större vattensalamander (§4a) </w:t>
      </w:r>
      <w:r>
        <w:t>är strikt skyddad enligt EU:s art- och habitatdirektiv vilket innebär att hela dess livsmiljö ska bevaras.  Med undantag från lekperioden lever den större vattensalamandern på land och i skogslandskapet hittar man den framför allt i äldre skog med stor strukturell variation och gott om död ved där djuren håller till under murkna trädstammar och stubbar, i smågnagargångar, under mossbeklädda stenar och i blockterräng. Vuxna salamandrar har konstaterats uppehålla sig inom 300 meter från lekvattnet och finska studier antyder att det behövs åtminstone ett hektar lämplig landmiljö nära lekvattnet. Avverkning invid lekvatten bör helt undvikas i skogsområden som bedöms kunna utgöra landhabitat för arten och skogsområdena bör säkras och skötas på ett för arten optimalt sätt genom att t.ex. minimera gallring och avverkning och låta andelen löv öka (SLU Artdatabanken, 2024; Skogsstyrelsen, 2016; Malmgren, 2007).</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samrådsanmälda skogen: grangråticka (VU, T), gul taggsvamp (VU, T), dofttaggsvamp (NT, T), dropptaggsvamp (NT, T), kryddspindling (NT, T), orange taggsvamp (NT, T), vedtrappmossa (NT, T), vippärt (NT, T), vårärt (NT, T), bronshjon (S, T), grov baronmossa (S, T), grov fjädermossa (S, T), gulnål (S, T), klippfrullania (S, T), platt fjädermossa (S, T), rävticka (S, T), svart trolldruva (S, T), tibast (S, T), trubbfjädermossa (S, T), trädporella (S, T), underviol (S, T), blåsippa (T, §9) och spillkråka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Större vattensalamander – ekologi samt krav på livsmiljön</w:t>
      </w:r>
    </w:p>
    <w:p>
      <w:r>
        <w:t>Större vattensalamander (§4a) är strikt skyddad enligt EU:s art- och habitatdirektiv vilket innebär att hela dess livsmiljö ska bevaras. Bevarandestatusen inom habitatdirektivet är dålig med negativ trend och arten omfattas av åtgärdsprogram för hotade arter (ÅGP). Arten förekommer i Götaland, större delen av Svealand, samt sparsamt i södra Norrlands kustland till södra Ångermanland. Med undantag från lekperioden lever den större vattensalamandern på land. I skogslandskapet hittar man den framför allt i äldre skog med stor strukturell variation och gott om död ved där djuren håller till under murkna trädstammar och stubbar, i smågnagargångar, under mossbeklädda stenar och i blockterräng, vanligen i fuktig huvudsakligen lövdominerad skog. I bl.a. mellersta och norra Värmlands skogsbygder, samt möjligen även i Bergslagen och Dalarna, förekommer arten i flera dystrofa tjärnar som delvis omges av vitmossegungfly samt äldre granblandskog. Större vattensalamander är känslig för uttorkning och undviker nya hyggen och andra öppna och torra miljöer, liksom tät ungskog utan fukthållande markskikt. Avverkning invid lekvatten bör helt undvikas i skogsområden som bedöms kunna utgöra landhabitat för arten och skogsområdena bör säkras och skötas på ett för arten optimalt sätt genom att t.ex. minimera gallring och avverkning och låta andelen löv öka (SLU Artdatabanken, 2024; Skogsstyrelsen, 2016; Malmgren, 2007).</w:t>
      </w:r>
    </w:p>
    <w:p>
      <w:r>
        <w:t>Starka populationer av större vattensalamander hittar man främst i ”småvattenlandskap”, alltså områden med en mosaik av lämpliga lekvatten och närliggande lämpliga landmiljöer. Det finns dock många exempel på isolerade lekvatten i skogstjärnar som hyser livskraftiga bestånd. Vuxna salamandrar har konstaterats uppehålla sig inom 300 meter från lekvattnet, men förflyttningar längre än en kilometer har noterats. Sannolikt kan framförallt unga individer sprida sig längre sträckor men kunskapen om deras spridningspotential är liten. Radiosändarstudier i Sverige och Frankrike har visat att djuren tycks vara mycket specifika i val av landmiljö samt att de har relativt små hemområden och vanligtvis inte vandrar så långt från sin hemdamm. En majoritet av individerna i en population tycks vandra mellan 10–100 m från det småvatten de reproducerar sig i, detta under förutsättning att lämpliga landmiljöer finns inom detta avstånd. Finska studier antyder att det behövs åtminstone ett hektar lämplig landmiljö nära lekvattnet (SLU Artdatabanken, 2024; Skogsstyrelsen, 2016; Malmgren, 2007).</w:t>
      </w:r>
    </w:p>
    <w:p>
      <w:r>
        <w:t>Den större vattensalamandern har under de senaste decennierna försvunnit från många lokaler utan att orsakerna därtill är exakt kända. Habitatförstöring anses utgöra den främsta orsaken till den observerade tendensen. Sannolikt utgör artens starka beroende av ett komplext småvattenlandskap – rika akvatiska miljöer sammanbundna med äldre skog via goda spridningsvägar – en stor del av förklaringen. Småvatten och lövskog med stor mängd död ved hör till de biotoper som i högst frekvens omdanats i 1900-talets landskapsförändring. Områden där båda dessa biotoper finns samlade är därför få. Dagens skogsbruk med korta omloppstider och mer ensartade bestånd leder till såväl minskad tillgång på lämpliga landmiljöer som försämrade spridningsmöjligheter. Bortröjning och bortgallring av lövträd, överföring av lövskog till barrskog, och bortrensning av död ved och olika former av markberedning påverkar kvaliteten på landmiljöerna negativt (SLU Artdatabanken, 2024; Skogsstyrelsen, 2016; Malmgren, 2007).</w:t>
      </w:r>
    </w:p>
    <w:p>
      <w:r>
        <w:t>Mycket pekar på att den större vattensalamandern kräver fungerande metapopulationsdynamik för långsiktig överlevnad i ett givet område. Vidare kan kravet på stabila landmiljöer vara ytterligare en faktor som gör arten särskilt känslig för störningar, exempelvis avverkning, i denna miljö. Som en följd av nämnda negativa faktorer hotas arten av fragmenteringseffekter. Dess spridningsförmåga är begränsad och om avstånden mellan lämpliga biotoper (och lekvatten) blir för stora isoleras populationerna med stor risk för lokalt utdöende som följd av slumpmässiga, miljöbetingade eller demografiska faktorer. I England har föreslagits att dammtätheten bör vara minst 0,7 dammar/km2 för att arten ska kunna sprida sig i tillräcklig utsträckning mellan lekvattnen. Goda förutsättningar för långsiktig överlevnad nås dock först vid dammtätheter närmare 4 dammar/km2, vilket studier från både England och Frankrike visat. (SLU Artdatabanken, 2024; Malmgren, 2007).</w:t>
      </w:r>
    </w:p>
    <w:p>
      <w:r>
        <w:t>Arten är beroende av förstärkt hänsyn. Fokus ska ligga på att bevara solbelysta småvatten för lek och fuktiga skogspartier för födosök och övervintring. Sväm- och sumpskog runt lekvattnen ska alltid sparas, liksom lämpliga födosöksmiljöer. För att skydda landmiljöerna och minska risken för negativ påverkan på vattenmiljön bör en tillräckligt bred kantzon med skog sparas runt lekvattnet. Det är viktigt att säkerställa att djuren obehindrat kan röra sig mellan lekvattnet och lämpliga födosöks- och uppväxtmiljöer. För att undvika att lokala populationer isoleras är det viktigt att inte skära av spridningsvägar och försvåra kontakt och spridning mellan befintliga och potentiella lekvatten. (Skogsstyrelsen, 2016; SLU Artdatabanken, 2024; Malmgren, 2007).</w:t>
      </w:r>
    </w:p>
    <w:p>
      <w:r>
        <w:t>Förekomster som befinns vara isolerade från andra populationer bör ges såväl skydd som omedelbara skötselåtgärder där särskild hänsyn tas till arten. Områden med lämpliga skogsområden och många småvatten där reproduktion äger rum, d.v.s. där många förekomster är samlade i ett begränsat område (metapopulationer), är av särskilt stort bevarandevärde och bör ges prioriterat skydd. Sannolikt har den större vattensalamanderns känslighet för störningar i dess miljöer underskattats, och om inte situationen förbättras kan artens hotstatus inom kort behöva uppgraderas. (SLU Artdatabanken, 2024).</w:t>
      </w:r>
    </w:p>
    <w:p>
      <w:pPr>
        <w:pStyle w:val="Heading2"/>
      </w:pPr>
      <w:r>
        <w:t>Referenser – större vattensalamander</w:t>
      </w:r>
    </w:p>
    <w:p>
      <w:r>
        <w:t xml:space="preserve">Malmgren, J., 2007. </w:t>
      </w:r>
      <w:r>
        <w:rPr>
          <w:i/>
        </w:rPr>
        <w:t>Åtgärdsprogram för bevarande av större vattensalamander och dess livsmiljöer (Triturus cristatus).</w:t>
      </w:r>
      <w:r>
        <w:t xml:space="preserve"> Rapport: 5636.  Naturvårdsverket. https://assets.artdatabanken.se/pdf/59197.pdf</w:t>
      </w:r>
    </w:p>
    <w:p>
      <w:r>
        <w:t xml:space="preserve">Skogsstyrelsen, 2016. </w:t>
      </w:r>
      <w:r>
        <w:rPr>
          <w:i/>
        </w:rPr>
        <w:t xml:space="preserve">Vägledning för hänsyn till större vattensalamander. </w:t>
      </w:r>
      <w:r>
        <w:t>Vägledningar och kunskapsstöd artskydd - Skogsstyrelsen</w:t>
      </w:r>
    </w:p>
    <w:p>
      <w:r>
        <w:t>SLU Artdatabanken, 2024.</w:t>
      </w:r>
      <w:r>
        <w:rPr>
          <w:i/>
        </w:rPr>
        <w:t xml:space="preserve">  Artfakta: större vattensalamander (Triturus cristatus). </w:t>
      </w:r>
      <w:r>
        <w:t>https://artfakta.se/taxa/100141</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