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63531-2025 i Nora kommun</w:t>
      </w:r>
    </w:p>
    <w:p>
      <w:r>
        <w:t>Detta dokument behandlar höga naturvärden i avverkningsanmälan A 63531-2025 i Nora kommun. Denna avverkningsanmälan inkom 2025-12-22 13:30:58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ask (EN), blåsfliksmossa (S), grov baronmossa (S), olivspindling (S), platt fjädermossa (S), svavelriska (S), tibast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1064"/>
            <wp:docPr id="1" name="Picture 1"/>
            <wp:cNvGraphicFramePr>
              <a:graphicFrameLocks noChangeAspect="1"/>
            </wp:cNvGraphicFramePr>
            <a:graphic>
              <a:graphicData uri="http://schemas.openxmlformats.org/drawingml/2006/picture">
                <pic:pic>
                  <pic:nvPicPr>
                    <pic:cNvPr id="0" name="A 63531-2025 karta.png"/>
                    <pic:cNvPicPr/>
                  </pic:nvPicPr>
                  <pic:blipFill>
                    <a:blip r:embed="rId16"/>
                    <a:stretch>
                      <a:fillRect/>
                    </a:stretch>
                  </pic:blipFill>
                  <pic:spPr>
                    <a:xfrm>
                      <a:off x="0" y="0"/>
                      <a:ext cx="5486400" cy="49110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6594228, E 496643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Blåsfliksmossa </w:t>
      </w:r>
      <w:r>
        <w:t xml:space="preserve">växer i skuggiga och fuktiga miljöer på klippor och stenar av såväl grönsten som silikat, till exempel intill naturliga skogsbäckar, i raviner och bergbranter. Den signalerar höga naturvärden främst i östra och norra Sverige och indikerar miljöer med jämn och hög luftfuktighet och ett basiskt underlag. Artens lokaler har ofta hög artrikedom. Blåsfliksmossa är typisk art för </w:t>
      </w:r>
      <w:r>
        <w:rPr>
          <w:i/>
        </w:rPr>
        <w:t>9080 Lövsumpskog</w:t>
      </w:r>
      <w:r>
        <w:t xml:space="preserve"> (SLU Artdatabanken, 2025; Nitare &amp; Skogsstyrelsen, 2019).</w:t>
      </w:r>
    </w:p>
    <w:p>
      <w:r>
        <w:rPr>
          <w:b/>
        </w:rPr>
        <w:t>Grov baronmossa</w:t>
      </w:r>
      <w:r>
        <w:t xml:space="preserve"> är näringskrävande och kalkgynnad. Den växer mest i skuggig skogsmiljö, antingen i ädellövskog eller i bergbranter på relativt torra, men beskuggade bergväggar och block av basiska bergarter. Den växer även vid basen av solitära eller halvöppet stående gamla ädellövträd, bland annat på mycket gamla ekar och lindar, men också på ask, lönn, bok och alm. Grov baronmossa är typisk art för </w:t>
      </w:r>
      <w:r>
        <w:rPr>
          <w:i/>
        </w:rPr>
        <w:t xml:space="preserve">9020 Nordlig ädellövskog, 9130 Näringsrik bokskog, 9160 Näringsrik ekskog </w:t>
      </w:r>
      <w:r>
        <w:t>och</w:t>
      </w:r>
      <w:r>
        <w:rPr>
          <w:i/>
        </w:rPr>
        <w:t xml:space="preserve"> 9180 Ädellövskog i branter</w:t>
      </w:r>
      <w:r>
        <w:t xml:space="preserve"> (Nitare &amp; Skogsstyrelsen, 2019; SLU Artdatabanken, 2025).</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