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54598-2025 i Nora kommun</w:t>
      </w:r>
    </w:p>
    <w:p>
      <w:r>
        <w:t>Detta dokument behandlar höga naturvärden i avverkningsanmälan A 54598-2025 i Nora kommun. Denna avverkningsanmälan inkom 2025-11-04 18:42:02 och omfattar 3,3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drillsnäppa (NT, §4) och vanlig snok (§6).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216625"/>
            <wp:docPr id="1" name="Picture 1"/>
            <wp:cNvGraphicFramePr>
              <a:graphicFrameLocks noChangeAspect="1"/>
            </wp:cNvGraphicFramePr>
            <a:graphic>
              <a:graphicData uri="http://schemas.openxmlformats.org/drawingml/2006/picture">
                <pic:pic>
                  <pic:nvPicPr>
                    <pic:cNvPr id="0" name="A 54598-2025 karta.png"/>
                    <pic:cNvPicPr/>
                  </pic:nvPicPr>
                  <pic:blipFill>
                    <a:blip r:embed="rId16"/>
                    <a:stretch>
                      <a:fillRect/>
                    </a:stretch>
                  </pic:blipFill>
                  <pic:spPr>
                    <a:xfrm>
                      <a:off x="0" y="0"/>
                      <a:ext cx="5486400" cy="621662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6601053, E 501138 i SWEREF 99 TM.</w:t>
      </w:r>
    </w:p>
    <w:p>
      <w:pPr>
        <w:pStyle w:val="Heading1"/>
      </w:pPr>
      <w:r>
        <w:t>Fridlysta arter</w:t>
      </w:r>
    </w:p>
    <w:p>
      <w:r>
        <w:t>Följande fridlysta arter har sina livsmiljöer och växtplatser i den avverkningsanmälda skogen: drillsnäppa (NT, §4) och vanlig snok (§6).</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2026-04-24</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