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2123-2026 i Nora kommun</w:t>
      </w:r>
    </w:p>
    <w:p>
      <w:r>
        <w:t>Denna tillsynsbegäran behandlar höga naturvärden i samrådsanmälan S 2123-2026 i Nora kommun som inkom 2026-08-10 och omfattar 3,6 ha.</w:t>
      </w:r>
    </w:p>
    <w:p>
      <w:pPr>
        <w:pStyle w:val="Caption"/>
      </w:pPr>
      <w:r>
        <w:drawing>
          <wp:inline xmlns:a="http://schemas.openxmlformats.org/drawingml/2006/main" xmlns:pic="http://schemas.openxmlformats.org/drawingml/2006/picture">
            <wp:extent cx="5076757" cy="5724000"/>
            <wp:docPr id="1" name="Picture 1"/>
            <wp:cNvGraphicFramePr>
              <a:graphicFrameLocks noChangeAspect="1"/>
            </wp:cNvGraphicFramePr>
            <a:graphic>
              <a:graphicData uri="http://schemas.openxmlformats.org/drawingml/2006/picture">
                <pic:pic>
                  <pic:nvPicPr>
                    <pic:cNvPr id="0" name="S 2123-2026 karta.png"/>
                    <pic:cNvPicPr/>
                  </pic:nvPicPr>
                  <pic:blipFill>
                    <a:blip r:embed="rId16"/>
                    <a:stretch>
                      <a:fillRect/>
                    </a:stretch>
                  </pic:blipFill>
                  <pic:spPr>
                    <a:xfrm>
                      <a:off x="0" y="0"/>
                      <a:ext cx="507675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6594207, E 496755 i SWEREF 99 TM.</w:t>
      </w:r>
    </w:p>
    <w:p>
      <w:r>
        <w:t>I och inom 23 meter från samrådsanmälan finns fynd av 25 naturvårdsarter, varav 7 är rödlistade, 2 är fridlysta, 19 är typiska (T) och 16 är signalarter (S): ask (EN), gul taggsvamp (VU, T), parasitporing (VU), dofttaggsvamp (NT, T), kandelabersvamp (NT, T), kryddspindling (NT, T), späd hårgräsmossa (NT), blek stjärnmossa (S, T), blåsfliksmossa (S, T), grov baronmossa (S, T), grov fjädermossa (S, T), guldlockmossa (S, T), kastanjefjällskivling (S), mörk husmossa (S, T), olivspindling (S), platt fjädermossa (S, T), skogshakmossa (S, T), strutbräken (S, T), stubbspretmossa (S, T), svart trolldruva (S, T), svavelriska (S), tibast (S, T), trubbfjädermossa (S, T), blåsippa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Parasitporing (VU)</w:t>
      </w:r>
      <w:r>
        <w:t xml:space="preserve"> är en parasit på den vedlevande mycket vanliga violtickan (</w:t>
      </w:r>
      <w:r>
        <w:rPr>
          <w:i/>
        </w:rPr>
        <w:t xml:space="preserve">Trichaptum abietinum) </w:t>
      </w:r>
      <w:r>
        <w:t>på gran. Arten är uppenbarligen mycket sällsynt med speciella miljökrav och lokaler där arten finns bör skyddas från kalavverkning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Späd hårgräsmossa (NT)</w:t>
      </w:r>
      <w:r>
        <w:t xml:space="preserve"> växer på kalkrika klippor och block, vanligen i skuggiga miljöer. Habitatförstöring i form av stenbrytning och skogsavverkningar utgör de främsta hoten mot arten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 taggsvamp (VU, T), dofttaggsvamp (NT, T), kandelabersvamp (NT, T), kryddspindling (NT, T), blek stjärnmossa (S, T), blåsfliksmossa (S, T), grov baronmossa (S, T), grov fjädermossa (S, T), guldlockmossa (S, T), mörk husmossa (S, T), platt fjädermossa (S, T), skogshakmossa (S, T), strutbräken (S, T), stubbspretmossa (S, T), svart trolldruva (S, T), tibast (S, T), trubbfjädermossa (S, T), blåsippa (T, §9)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