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16286-2026 i Nora kommun</w:t>
      </w:r>
    </w:p>
    <w:p>
      <w:r>
        <w:t>Detta dokument behandlar höga naturvärden i avverkningsanmälan A 16286-2026 i Nora kommun. Denna avverkningsanmälan inkom 2026-03-30 12:11:56 och omfattar 4,6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orange taggsvamp (NT), spillkråka (NT, §4), dropptaggsvamp (S), mindre märgborre (S), rostfläck (S), vedticka (S), tjäder (§4), huggorm (§6) och fläcknycklar (§8).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32542"/>
            <wp:docPr id="1" name="Picture 1"/>
            <wp:cNvGraphicFramePr>
              <a:graphicFrameLocks noChangeAspect="1"/>
            </wp:cNvGraphicFramePr>
            <a:graphic>
              <a:graphicData uri="http://schemas.openxmlformats.org/drawingml/2006/picture">
                <pic:pic>
                  <pic:nvPicPr>
                    <pic:cNvPr id="0" name="A 16286-2026 karta.png"/>
                    <pic:cNvPicPr/>
                  </pic:nvPicPr>
                  <pic:blipFill>
                    <a:blip r:embed="rId16"/>
                    <a:stretch>
                      <a:fillRect/>
                    </a:stretch>
                  </pic:blipFill>
                  <pic:spPr>
                    <a:xfrm>
                      <a:off x="0" y="0"/>
                      <a:ext cx="5486400" cy="46325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6608375, E 489696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 xml:space="preserve">Rostfläck </w:t>
      </w:r>
      <w:r>
        <w:t xml:space="preserve">signalerar framför allt höga naturvärden i östra Sverige samt norr om den naturliga norrlandsgränsen. Arten indikerar här skogsmiljöer som under lång tid haft ett konstant fuktigt mikroklimat. Rika förekomster i Norrland visar sannolikt på bestånd med långvarig kontinuitet av gamla träd. När laven påträffas i alkärr signalerar den höga naturvärden inom hela sitt utbredningsområde. Rostfläck är typisk art för </w:t>
      </w:r>
      <w:r>
        <w:rPr>
          <w:i/>
        </w:rPr>
        <w:t xml:space="preserve">9190 Näringsfattig ekskog </w:t>
      </w:r>
      <w:r>
        <w:t>(Nitare &amp; Skogsstyrelsen, 2019; 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Fridlysta arter</w:t>
      </w:r>
    </w:p>
    <w:p>
      <w:r>
        <w:t>Följande fridlysta arter har sina livsmiljöer och växtplatser i den avverkningsanmälda skogen: spillkråka (NT, §4), tjäder (§4), huggorm (§6)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