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63535-2025 i Nora kommun</w:t>
      </w:r>
    </w:p>
    <w:p>
      <w:r>
        <w:t>Detta klagomål behandlar höga naturvärden i avverkningsanmälan A 63535-2025 i Nora kommun som inkom 2025-12-22 och omfattar 1,9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63535-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6594102, E 497005 i SWEREF 99 TM.</w:t>
      </w:r>
    </w:p>
    <w:p>
      <w:r>
        <w:t>I och inom 6 meter från avverkningsanmälan finns fynd av 5 naturvårdsarter, varav 1 är rödlistad, 1 är fridlyst, 1 är typisk (T) och 3 är signalarter (S): kryddtofsskivling (VU), gulvaxing (S), hagfingersvamp (S), toppvaxing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Kryddtofsskivling (VU)</w:t>
      </w:r>
      <w:r>
        <w:t xml:space="preserve"> växer på ved av lövträd och de svenska fynden har gjorts på döda eller skadade stammar av björk, asp och sälg. Avverkning av värdträden och bortgallring av gamla lövträd på artens växtplatser är påtagliga hot. Kända lokaler måste besökas för att utröna om arten finns kvar där. Återfinns den måste de träd den växer på skyddas på något sätt för att undgå avverkning. Omgivande bestånd bör skötas så att svampen får goda spridningsmöjligheter. Lövbestånd i branter, raviner och på andra klimatiskt gynnade platser, som kan utgöra framtida växtlokaler för kryddtofsskivling och andra rödlistade arter, skall i möjligaste mån lämnas för fri utveckling. Kryddtofsskivling är snarlik fjällig tofsskivling </w:t>
      </w:r>
      <w:r>
        <w:rPr>
          <w:i/>
        </w:rPr>
        <w:t>Pholiota squarrosa</w:t>
      </w:r>
      <w:r>
        <w:t>, som är en vanlig och välkänd art. Den skiljer sig främst genom att hatten är tydligt klibbig i fuktigt väder och att den har en stark, kryddartad lukt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