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63533-2025 i Nora kommun</w:t>
      </w:r>
    </w:p>
    <w:p>
      <w:r>
        <w:t>Detta dokument behandlar höga naturvärden i avverkningsanmälan A 63533-2025 i Nora kommun. Denna avverkningsanmälan inkom 2025-12-22 13:36:20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parasitporing (VU), kandelabersvamp (NT), späd hårgräsmossa (NT), grov fjädermossa (S), guldlockmossa (S), kastanjefjällskivling (S), mörk husmossa (S), platt fjädermossa (S), strutbräken (S), stubbspretmossa (S), svart trolldruva (S), svavelriska (S), trubbfjädermossa (S), blåsippa (§9)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63533-2025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6594230, E 496755 i SWEREF 99 TM.</w:t>
      </w:r>
    </w:p>
    <w:p>
      <w:r>
        <w:rPr>
          <w:b/>
        </w:rPr>
        <w:t xml:space="preserve">Grov fjädermossa </w:t>
      </w:r>
      <w:r>
        <w:t>påträffas i gammal ädellövskog och på kalkrika bergväggar i äldre barrskog. Arten är placerad högst upp i Skogsstyrelsens värdepyramid för bedömning av skog med höga naturvärden och visar på lokaler som haft lång trädkontinuitet och stabilt mikroklimat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Parasitporing (VU)</w:t>
      </w:r>
      <w:r>
        <w:t xml:space="preserve"> är en parasit på den vedlevande mycket vanliga violtickan (</w:t>
      </w:r>
      <w:r>
        <w:rPr>
          <w:i/>
        </w:rPr>
        <w:t xml:space="preserve">Trichaptum abietinum) </w:t>
      </w:r>
      <w:r>
        <w:t>på gran. Arten är uppenbarligen mycket sällsynt med speciella miljökrav och lokaler där arten finns bör skyddas från kalavverkning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 och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