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63533-2025 i Nora kommun</w:t>
      </w:r>
    </w:p>
    <w:p>
      <w:r>
        <w:t>Denna tillsynsbegäran behandlar höga naturvärden i avverkningsanmälan A 63533-2025 i Nora kommun som inkom 2025-12-22 och omfattar 2,2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63533-2025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6594230, E 496755 i SWEREF 99 TM.</w:t>
      </w:r>
    </w:p>
    <w:p>
      <w:r>
        <w:t>I och inom 23 meter från avverkningsanmälan finns fynd av 24 naturvårdsarter, varav 6 är rödlistade, 2 är fridlysta, 18 är typiska (T) och 16 är signalarter (S): ask (EN), parasitporing (VU), dofttaggsvamp (NT, T), kandelabersvamp (NT, T), kryddspindling (NT, T), späd hårgräsmossa (NT), blek stjärnmossa (S, T), blåsfliksmossa (S, T), grov baronmossa (S, T), grov fjädermossa (S, T), guldlockmossa (S, T), kastanjefjällskivling (S), mörk husmossa (S, T), olivspindling (S), platt fjädermossa (S, T), skogshakmossa (S, T), strutbräken (S, T), stubbspretmossa (S, T), svart trolldruva (S, T), svavelriska (S), tibast (S, T), trubbfjädermossa (S, T),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Späd hårgräsmossa (NT)</w:t>
      </w:r>
      <w:r>
        <w:t xml:space="preserve"> växer på kalkrika klippor och block, vanligen i skuggiga miljöer. Habitatförstöring i form av stenbrytning och skogsavverkningar utgör de främsta hoten mot arten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kandelabersvamp (NT, T), kryddspindling (NT, T), blek stjärnmossa (S, T), blåsfliksmossa (S, T), grov baronmossa (S, T), grov fjädermossa (S, T), guldlockmossa (S, T), mörk husmossa (S, T), platt fjädermossa (S, T), skogshakmossa (S, T), strutbräken (S, T), stubbspretmossa (S, T), svart trolldruva (S, T), tibast (S, T), trubbfjädermossa (S, T), blåsippa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