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15327-2024 i Nora kommun</w:t>
      </w:r>
    </w:p>
    <w:p>
      <w:r>
        <w:t>Detta dokument behandlar höga naturvärden i avverkningsanmälan A 15327-2024 i Nora kommun. Denna avverkningsanmälan inkom 2024-04-18 16:22:42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violettgrå tagellav (NT).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19217"/>
            <wp:docPr id="1" name="Picture 1"/>
            <wp:cNvGraphicFramePr>
              <a:graphicFrameLocks noChangeAspect="1"/>
            </wp:cNvGraphicFramePr>
            <a:graphic>
              <a:graphicData uri="http://schemas.openxmlformats.org/drawingml/2006/picture">
                <pic:pic>
                  <pic:nvPicPr>
                    <pic:cNvPr id="0" name="A 15327-2024 karta.png"/>
                    <pic:cNvPicPr/>
                  </pic:nvPicPr>
                  <pic:blipFill>
                    <a:blip r:embed="rId16"/>
                    <a:stretch>
                      <a:fillRect/>
                    </a:stretch>
                  </pic:blipFill>
                  <pic:spPr>
                    <a:xfrm>
                      <a:off x="0" y="0"/>
                      <a:ext cx="5486400" cy="44192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6614119, E 490801 i SWEREF 99 TM.</w:t>
      </w:r>
    </w:p>
    <w:p>
      <w:r>
        <w:rPr>
          <w:b/>
        </w:rPr>
        <w:t>Violettgrå tagellav (NT)</w:t>
      </w:r>
      <w:r>
        <w:t xml:space="preserve"> växer nästan uteslutande i gamla olikåldriga barrnaturskogar med lång skoglig kontinuitet och är en utmärkt signal på skog med höga naturvärden. Slutavverkning av tidigare aldrig slutavverkad skog (kontinuitetsskog) är det största hotet. Biotopen nyskapas i begränsad omfattning och barrskog äldre än 160 år, där den violettgrå tagellaven huvudsakligen påträffas har minskat med 50% de senaste 50 åren. Lågproduktiv skogsmark där laven förekommer bör undantas från skogsbruk och rika förekomster i äldre granskog bör skyddas. Arten är känslig för uttorkning och det är väsentligt att tillräckligt stora bestånd avsätts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