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25610-2026 i Nora kommun</w:t>
      </w:r>
    </w:p>
    <w:p>
      <w:r>
        <w:t>Denna tillsynsbegäran behandlar höga naturvärden i avverkningsanmälan A 25610-2026 i Nora kommun som inkom 2026-06-02 och omfattar 26,0 ha.</w:t>
      </w:r>
    </w:p>
    <w:p>
      <w:pPr>
        <w:pStyle w:val="Caption"/>
      </w:pPr>
      <w:r>
        <w:drawing>
          <wp:inline xmlns:a="http://schemas.openxmlformats.org/drawingml/2006/main" xmlns:pic="http://schemas.openxmlformats.org/drawingml/2006/picture">
            <wp:extent cx="5486400" cy="3527510"/>
            <wp:docPr id="1" name="Picture 1"/>
            <wp:cNvGraphicFramePr>
              <a:graphicFrameLocks noChangeAspect="1"/>
            </wp:cNvGraphicFramePr>
            <a:graphic>
              <a:graphicData uri="http://schemas.openxmlformats.org/drawingml/2006/picture">
                <pic:pic>
                  <pic:nvPicPr>
                    <pic:cNvPr id="0" name="A 25610-2026 karta.png"/>
                    <pic:cNvPicPr/>
                  </pic:nvPicPr>
                  <pic:blipFill>
                    <a:blip r:embed="rId16"/>
                    <a:stretch>
                      <a:fillRect/>
                    </a:stretch>
                  </pic:blipFill>
                  <pic:spPr>
                    <a:xfrm>
                      <a:off x="0" y="0"/>
                      <a:ext cx="5486400" cy="352751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6614924, E 486602 i SWEREF 99 TM.</w:t>
      </w:r>
    </w:p>
    <w:p>
      <w:r>
        <w:t>I och inom 6 meter från avverkningsanmälan finns fynd av 8 naturvårdsarter, varav 3 är rödlistade, 3 är fridlysta, 7 är typiska (T) och 3 är signalarter (S): motaggsvamp (NT, T), tretåig hackspett (NT, T, §4), ullticka (NT, T), bronshjon (S, T), mindre märgborre (S, T), thomsons trägnagare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tretåig hackspett (NT, T, §4), ullticka (NT, T), bronshjon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