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39513-2025 i Nora kommun</w:t>
      </w:r>
    </w:p>
    <w:p>
      <w:r>
        <w:t>Denna tillsynsbegäran behandlar höga naturvärden i avverkningsanmälan A 39513-2025 i Nora kommun som inkom 2025-08-21 och omfattar 9,3 ha.</w:t>
      </w:r>
    </w:p>
    <w:p>
      <w:pPr>
        <w:pStyle w:val="Caption"/>
      </w:pPr>
      <w:r>
        <w:drawing>
          <wp:inline xmlns:a="http://schemas.openxmlformats.org/drawingml/2006/main" xmlns:pic="http://schemas.openxmlformats.org/drawingml/2006/picture">
            <wp:extent cx="5486400" cy="4221323"/>
            <wp:docPr id="1" name="Picture 1"/>
            <wp:cNvGraphicFramePr>
              <a:graphicFrameLocks noChangeAspect="1"/>
            </wp:cNvGraphicFramePr>
            <a:graphic>
              <a:graphicData uri="http://schemas.openxmlformats.org/drawingml/2006/picture">
                <pic:pic>
                  <pic:nvPicPr>
                    <pic:cNvPr id="0" name="A 39513-2025 karta.png"/>
                    <pic:cNvPicPr/>
                  </pic:nvPicPr>
                  <pic:blipFill>
                    <a:blip r:embed="rId16"/>
                    <a:stretch>
                      <a:fillRect/>
                    </a:stretch>
                  </pic:blipFill>
                  <pic:spPr>
                    <a:xfrm>
                      <a:off x="0" y="0"/>
                      <a:ext cx="5486400" cy="422132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6596802, E 500730 i SWEREF 99 TM.</w:t>
      </w:r>
    </w:p>
    <w:p>
      <w:r>
        <w:t>I och inom 14 meter från avverkningsanmälan finns fynd av 5 naturvårdsarter, varav 3 är rödlistade, 3 är fridlysta och 1 är typisk (T): flodpärlmussla (EN), stare (VU, §4), björktrast (NT, §4), hultbräken (T)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rPr>
          <w:b/>
        </w:rPr>
        <w:t xml:space="preserve">Hultbräken </w:t>
      </w:r>
      <w:r>
        <w:t xml:space="preserve">är typisk art för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