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220-2024 i Nora kommun</w:t>
      </w:r>
    </w:p>
    <w:p>
      <w:r>
        <w:t>Denna tillsynsbegäran behandlar höga naturvärden i samrådsanmälan S 220-2024 i Nora kommun som inkom 2024-01-25 och omfattar 305,1 ha.</w:t>
      </w:r>
    </w:p>
    <w:p>
      <w:pPr>
        <w:pStyle w:val="Caption"/>
      </w:pPr>
      <w:r>
        <w:drawing>
          <wp:inline xmlns:a="http://schemas.openxmlformats.org/drawingml/2006/main" xmlns:pic="http://schemas.openxmlformats.org/drawingml/2006/picture">
            <wp:extent cx="5103199" cy="5724000"/>
            <wp:docPr id="1" name="Picture 1"/>
            <wp:cNvGraphicFramePr>
              <a:graphicFrameLocks noChangeAspect="1"/>
            </wp:cNvGraphicFramePr>
            <a:graphic>
              <a:graphicData uri="http://schemas.openxmlformats.org/drawingml/2006/picture">
                <pic:pic>
                  <pic:nvPicPr>
                    <pic:cNvPr id="0" name="S 220-2024 karta.png"/>
                    <pic:cNvPicPr/>
                  </pic:nvPicPr>
                  <pic:blipFill>
                    <a:blip r:embed="rId16"/>
                    <a:stretch>
                      <a:fillRect/>
                    </a:stretch>
                  </pic:blipFill>
                  <pic:spPr>
                    <a:xfrm>
                      <a:off x="0" y="0"/>
                      <a:ext cx="510319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6590426, E 492800 i SWEREF 99 TM.</w:t>
      </w:r>
    </w:p>
    <w:p>
      <w:r>
        <w:t>I och inom 25 meter från samrådsanmälan finns fynd av 68 naturvårdsarter, varav 35 är rödlistade, 17 är fridlysta, 23 är typiska (T) och 21 är signalarter (S): brödtaggsvamp (EN), raggtaggsvamp (EN), slät taggsvamp (EN), violgubbe (EN), brun gräsfjäril (VU, §4a), grangråticka (VU, T), gul taggsvamp (VU, T), kopparspindling (VU), läderdoftande fingersvamp (VU), stor odörspindling (VU), taggfingersvamp (VU), violettrandad spindling (VU), väddnätfjäril (VU, §6), barrviolspindling (NT), blek fingersvamp (NT), dofttaggsvamp (NT, T), dropptaggsvamp (NT, T), fjällig taggsvamp s.str. (NT), gelatinfingersvamp (NT), grantaggsvamp (NT), gultoppig fingersvamp (NT), kryddspindling (NT, T), orange taggsvamp (NT, T), rundfjädermossa (NT), rödvingetrast (NT, §4), skarp dropptaggsvamp (NT), svinrot (NT), såpfingersvamp (NT), talltita (NT, §4), tjockfotad fingersvamp (NT), vedtrappmossa (NT, T), vippärt (NT, T), vårärt (NT, T), äggspindling (NT), ängsstarr (NT), bronshjon (S, T), diskvaxskivling (S), dofttråding (S), grov baronmossa (S, T), grov fjädermossa (S, T), guldkremla (S), gulgrön kantmusseron (S), gulnande spindling (S), gulnål (S, T), klippfrullania (S, T), olivspindling (S), platt fjädermossa (S, T), purpurknipprot (S, §8), rävticka (S, T), rödgul trumpetsvamp (S), svart trolldruva (S, T), svavelriska (S), tibast (S, T), trubbfjädermossa (S, T), trädporella (S, T), underviol (S, T), blåsippa (T, §9), spillkråka (T, §4), kungsfågel (§4), större vattensalamander (§4a), utter (§4a), skogsödla (§6), vanlig groda (§6), vanlig padda (§6), käppkrokmossa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Rundfjädermossa (NT)</w:t>
      </w:r>
      <w:r>
        <w:t xml:space="preserve"> förekommer på kalkrika bergarter i bergbranter och blockmark, oftast inne i grottor och skrevor samt under större block i skogsmark. Avverkning av expositionsskyddande träd och buskar utgör ett allvarligt hot. På kända lokaler får ingen avverkning eller exploatering ske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dofttaggsvamp (NT, T), dropptaggsvamp (NT, T), kryddspindling (NT, T), orange taggsvamp (NT, T), vedtrappmossa (NT, T), vippärt (NT, T), vårärt (NT, T), bronshjon (S, T), grov baronmossa (S, T), grov fjädermossa (S, T), gulnål (S, T), klippfrullania (S, T), platt fjädermossa (S, T), rävticka (S, T), svart trolldruva (S, T), tibast (S, T), trubbfjädermossa (S, T), trädporella (S, T), underviol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