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31180-2020 i Nora kommun</w:t>
      </w:r>
    </w:p>
    <w:p>
      <w:r>
        <w:t>Detta dokument behandlar höga naturvärden i avverkningsanmälan A 31180-2020 i Nora kommun. Denna avverkningsanmälan inkom 2020-06-30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entita (NT, §4), fjällvråk (NT, §4), stenfalk (NT, §4) och talltita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78065"/>
            <wp:docPr id="1" name="Picture 1"/>
            <wp:cNvGraphicFramePr>
              <a:graphicFrameLocks noChangeAspect="1"/>
            </wp:cNvGraphicFramePr>
            <a:graphic>
              <a:graphicData uri="http://schemas.openxmlformats.org/drawingml/2006/picture">
                <pic:pic>
                  <pic:nvPicPr>
                    <pic:cNvPr id="0" name="A 31180-2020 karta.png"/>
                    <pic:cNvPicPr/>
                  </pic:nvPicPr>
                  <pic:blipFill>
                    <a:blip r:embed="rId16"/>
                    <a:stretch>
                      <a:fillRect/>
                    </a:stretch>
                  </pic:blipFill>
                  <pic:spPr>
                    <a:xfrm>
                      <a:off x="0" y="0"/>
                      <a:ext cx="5486400" cy="67780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6595569, E 500171 i SWEREF 99 TM.</w:t>
      </w:r>
    </w:p>
    <w:p>
      <w:pPr>
        <w:pStyle w:val="Heading1"/>
      </w:pPr>
      <w:r>
        <w:t>Fridlysta arter</w:t>
      </w:r>
    </w:p>
    <w:p>
      <w:r>
        <w:t>Följande fridlysta arter har sina livsmiljöer och växtplatser i den avverkningsanmälda skogen: entita (NT, §4), fjällvråk (NT, §4), stenfalk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rödlistad som nära hotad och prioriterad art i Skogsvårdslagen, har häckningsrevir i anmälan. Minskningstakten innevarande 10-årsperiod beräknas till 20 (10–30) %.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Entita – ekologi samt krav på livsmiljön</w:t>
      </w:r>
    </w:p>
    <w:p>
      <w:r>
        <w:t>Entita (NT, §4) är rödlistad som nära hotad, fridlyst och prioriterad art enligt Skogsvårdslagen. Den omfattas av EU:s fågeldirektiv.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